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BA" w:rsidRPr="00CA4BBA" w:rsidRDefault="00CA4BBA" w:rsidP="00CA4BBA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A4BBA">
        <w:rPr>
          <w:rFonts w:ascii="Arial" w:hAnsi="Arial" w:cs="Arial"/>
          <w:sz w:val="32"/>
          <w:szCs w:val="32"/>
        </w:rPr>
        <w:br/>
      </w: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10555"/>
      </w:tblGrid>
      <w:tr w:rsidR="00CA4BBA" w:rsidRPr="00CA4BBA" w:rsidTr="00CA4BBA">
        <w:trPr>
          <w:trHeight w:val="715"/>
        </w:trPr>
        <w:tc>
          <w:tcPr>
            <w:tcW w:w="3926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Site</w:t>
            </w:r>
            <w:r w:rsidRPr="00CA4BBA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0555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4BBA">
              <w:rPr>
                <w:rFonts w:ascii="Arial" w:hAnsi="Arial" w:cs="Arial"/>
                <w:b/>
                <w:sz w:val="32"/>
                <w:szCs w:val="32"/>
              </w:rPr>
              <w:t>Eiger Close grassed area (Uplands Estate)</w:t>
            </w:r>
          </w:p>
        </w:tc>
      </w:tr>
      <w:tr w:rsidR="00CA4BBA" w:rsidRPr="00CA4BBA" w:rsidTr="00CA4BBA">
        <w:trPr>
          <w:trHeight w:val="1084"/>
        </w:trPr>
        <w:tc>
          <w:tcPr>
            <w:tcW w:w="3926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Grid Reference / Post Code</w:t>
            </w:r>
            <w:r w:rsidRPr="00CA4BBA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0555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53°07'22.9"N 2°09'41.4"W</w:t>
            </w:r>
          </w:p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ST8 7DX</w:t>
            </w:r>
          </w:p>
        </w:tc>
      </w:tr>
      <w:tr w:rsidR="00CA4BBA" w:rsidRPr="00CA4BBA" w:rsidTr="00CA4BBA">
        <w:trPr>
          <w:trHeight w:val="1087"/>
        </w:trPr>
        <w:tc>
          <w:tcPr>
            <w:tcW w:w="3926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Brief Description</w:t>
            </w:r>
          </w:p>
        </w:tc>
        <w:tc>
          <w:tcPr>
            <w:tcW w:w="10555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Grassed area on the periphery of the housing estate, providing attractive entrance and important green buffer between housing developments.</w:t>
            </w:r>
          </w:p>
        </w:tc>
      </w:tr>
    </w:tbl>
    <w:p w:rsidR="00CA4BBA" w:rsidRPr="00CA4BBA" w:rsidRDefault="00CA4BBA" w:rsidP="00CA4BBA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882"/>
        <w:gridCol w:w="8110"/>
      </w:tblGrid>
      <w:tr w:rsidR="00CA4BBA" w:rsidRPr="00CA4BBA" w:rsidTr="00CA4BBA">
        <w:trPr>
          <w:trHeight w:val="345"/>
        </w:trPr>
        <w:tc>
          <w:tcPr>
            <w:tcW w:w="5463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Criteria.</w:t>
            </w:r>
          </w:p>
        </w:tc>
        <w:tc>
          <w:tcPr>
            <w:tcW w:w="882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10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4BBA" w:rsidRPr="00CA4BBA" w:rsidTr="00CA4BBA">
        <w:trPr>
          <w:trHeight w:val="1452"/>
        </w:trPr>
        <w:tc>
          <w:tcPr>
            <w:tcW w:w="5463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Location</w:t>
            </w:r>
            <w:r w:rsidRPr="00CA4BBA">
              <w:rPr>
                <w:rFonts w:ascii="Arial" w:hAnsi="Arial" w:cs="Arial"/>
                <w:sz w:val="32"/>
                <w:szCs w:val="32"/>
              </w:rPr>
              <w:br/>
            </w:r>
            <w:r w:rsidRPr="00CA4BBA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In reasonably close proximity to the community it serves</w:t>
            </w:r>
          </w:p>
        </w:tc>
        <w:tc>
          <w:tcPr>
            <w:tcW w:w="882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8110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Accessible to entire community.</w:t>
            </w:r>
          </w:p>
        </w:tc>
      </w:tr>
      <w:tr w:rsidR="00CA4BBA" w:rsidRPr="00CA4BBA" w:rsidTr="00CA4BBA">
        <w:trPr>
          <w:trHeight w:val="3169"/>
        </w:trPr>
        <w:tc>
          <w:tcPr>
            <w:tcW w:w="5463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Local Significance</w:t>
            </w:r>
            <w:r w:rsidRPr="00CA4BBA">
              <w:rPr>
                <w:rFonts w:ascii="Arial" w:hAnsi="Arial" w:cs="Arial"/>
                <w:sz w:val="32"/>
                <w:szCs w:val="32"/>
              </w:rPr>
              <w:br/>
            </w:r>
            <w:r w:rsidRPr="00CA4BBA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Demonstrably special to a local community and holds a particular local significance, for example because of its beauty, historic significance, recreational value (including as a playing field), tranquility or richness of its wildlife.</w:t>
            </w:r>
          </w:p>
        </w:tc>
        <w:tc>
          <w:tcPr>
            <w:tcW w:w="882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8110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Recreational value. Provides visual break and transition space in a busy settlement area.</w:t>
            </w:r>
          </w:p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Good visual attractiveness contributing to the setting of the local area, providing important buffer. Helps to contribute towards making Biddulph a more attractive place to live, work and visit.</w:t>
            </w:r>
          </w:p>
        </w:tc>
      </w:tr>
      <w:tr w:rsidR="00CA4BBA" w:rsidRPr="00CA4BBA" w:rsidTr="00CA4BBA">
        <w:trPr>
          <w:trHeight w:val="1452"/>
        </w:trPr>
        <w:tc>
          <w:tcPr>
            <w:tcW w:w="5463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Size, Scale</w:t>
            </w:r>
            <w:r w:rsidRPr="00CA4BBA">
              <w:rPr>
                <w:rFonts w:ascii="Arial" w:hAnsi="Arial" w:cs="Arial"/>
                <w:sz w:val="32"/>
                <w:szCs w:val="32"/>
              </w:rPr>
              <w:br/>
            </w:r>
            <w:r w:rsidRPr="00CA4BBA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Local in character and is not an extensive tract of land</w:t>
            </w:r>
            <w:r w:rsidRPr="00CA4BBA">
              <w:rPr>
                <w:rFonts w:ascii="Arial" w:hAnsi="Arial" w:cs="Arial"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882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8110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4BBA" w:rsidRPr="00CA4BBA" w:rsidTr="00CA4BBA">
        <w:trPr>
          <w:trHeight w:val="714"/>
        </w:trPr>
        <w:tc>
          <w:tcPr>
            <w:tcW w:w="5463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Recommendation</w:t>
            </w:r>
          </w:p>
        </w:tc>
        <w:tc>
          <w:tcPr>
            <w:tcW w:w="882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10" w:type="dxa"/>
            <w:shd w:val="clear" w:color="auto" w:fill="auto"/>
          </w:tcPr>
          <w:p w:rsidR="00CA4BBA" w:rsidRPr="00CA4BBA" w:rsidRDefault="00CA4BBA" w:rsidP="00CA4BB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BBA">
              <w:rPr>
                <w:rFonts w:ascii="Arial" w:hAnsi="Arial" w:cs="Arial"/>
                <w:sz w:val="32"/>
                <w:szCs w:val="32"/>
              </w:rPr>
              <w:t>Suitable for Local Green Space Designation</w:t>
            </w:r>
          </w:p>
        </w:tc>
      </w:tr>
    </w:tbl>
    <w:p w:rsidR="00CA4BBA" w:rsidRDefault="00CA4BBA" w:rsidP="00CA4BBA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:rsidR="00CA4BBA" w:rsidRDefault="00CA4BBA" w:rsidP="00CA4BBA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:rsidR="00CA4BBA" w:rsidRDefault="00CA4BBA" w:rsidP="00CA4BBA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:rsidR="00CA4BBA" w:rsidRDefault="00CA4BBA" w:rsidP="00CA4BBA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:rsidR="00CA4BBA" w:rsidRDefault="00CA4BBA" w:rsidP="00CA4BBA">
      <w:pPr>
        <w:pStyle w:val="ListParagraph"/>
        <w:ind w:left="0"/>
        <w:rPr>
          <w:rFonts w:ascii="Arial" w:hAnsi="Arial" w:cs="Arial"/>
        </w:rPr>
        <w:sectPr w:rsidR="00CA4BBA" w:rsidSect="00CA4B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23814" w:code="8"/>
          <w:pgMar w:top="2127" w:right="1440" w:bottom="426" w:left="1440" w:header="708" w:footer="708" w:gutter="0"/>
          <w:cols w:space="173"/>
          <w:docGrid w:linePitch="360"/>
        </w:sectPr>
      </w:pPr>
    </w:p>
    <w:p w:rsidR="00CA4BBA" w:rsidRDefault="00CA4BBA" w:rsidP="00CA4BB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Pictures:</w:t>
      </w:r>
    </w:p>
    <w:p w:rsidR="00CA4BBA" w:rsidRDefault="00CA4BBA" w:rsidP="00CA4BBA">
      <w:pPr>
        <w:pStyle w:val="ListParagraph"/>
        <w:ind w:left="0"/>
        <w:rPr>
          <w:rFonts w:ascii="Arial" w:hAnsi="Arial" w:cs="Arial"/>
        </w:rPr>
      </w:pPr>
    </w:p>
    <w:p w:rsidR="00CA4BBA" w:rsidRDefault="00CA4BBA" w:rsidP="00CA4BBA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9B47745" wp14:editId="3B5040AC">
            <wp:extent cx="3456386" cy="2585545"/>
            <wp:effectExtent l="0" t="0" r="0" b="5715"/>
            <wp:docPr id="46" name="Picture 46" descr="S:\Biddulph Town Council\Neighbourhood Plan\Photos- LGS\Eiger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Biddulph Town Council\Neighbourhood Plan\Photos- LGS\Eiger Clos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647" cy="25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BA" w:rsidRDefault="00CA4BBA" w:rsidP="00CA4BBA">
      <w:pPr>
        <w:pStyle w:val="ListParagraph"/>
        <w:ind w:left="0"/>
        <w:rPr>
          <w:rFonts w:ascii="Arial" w:hAnsi="Arial" w:cs="Arial"/>
        </w:rPr>
      </w:pPr>
    </w:p>
    <w:p w:rsidR="00CA4BBA" w:rsidRDefault="00CA4BBA" w:rsidP="00CA4BBA">
      <w:pPr>
        <w:pStyle w:val="ListParagraph"/>
        <w:ind w:left="0"/>
        <w:rPr>
          <w:rFonts w:ascii="Arial" w:hAnsi="Arial" w:cs="Arial"/>
        </w:rPr>
      </w:pPr>
    </w:p>
    <w:p w:rsidR="00CA4BBA" w:rsidRDefault="00CA4BBA" w:rsidP="00CA4BBA">
      <w:pPr>
        <w:pStyle w:val="ListParagraph"/>
        <w:ind w:left="0"/>
        <w:rPr>
          <w:rFonts w:ascii="Arial" w:hAnsi="Arial" w:cs="Arial"/>
        </w:rPr>
      </w:pPr>
    </w:p>
    <w:p w:rsidR="00CA4BBA" w:rsidRDefault="00CA4BBA" w:rsidP="00CA4BBA">
      <w:pPr>
        <w:pStyle w:val="ListParagraph"/>
        <w:ind w:left="0"/>
        <w:rPr>
          <w:rFonts w:ascii="Arial" w:hAnsi="Arial" w:cs="Arial"/>
        </w:rPr>
      </w:pPr>
    </w:p>
    <w:p w:rsidR="00CA4BBA" w:rsidRDefault="00CA4BBA" w:rsidP="00CA4BBA">
      <w:pPr>
        <w:pStyle w:val="ListParagraph"/>
        <w:ind w:left="0"/>
        <w:rPr>
          <w:rFonts w:ascii="Arial" w:hAnsi="Arial" w:cs="Arial"/>
        </w:rPr>
      </w:pPr>
    </w:p>
    <w:p w:rsidR="00CA4BBA" w:rsidRDefault="00CA4BBA" w:rsidP="00CA4BBA">
      <w:pPr>
        <w:pStyle w:val="ListParagraph"/>
        <w:ind w:left="0"/>
        <w:rPr>
          <w:rFonts w:ascii="Arial" w:hAnsi="Arial" w:cs="Arial"/>
        </w:rPr>
      </w:pPr>
    </w:p>
    <w:p w:rsidR="00CA4BBA" w:rsidRDefault="00CA4BBA" w:rsidP="00CA4BBA">
      <w:pPr>
        <w:pStyle w:val="ListParagraph"/>
        <w:ind w:left="0"/>
        <w:rPr>
          <w:rFonts w:ascii="Arial" w:hAnsi="Arial" w:cs="Arial"/>
        </w:rPr>
      </w:pPr>
    </w:p>
    <w:p w:rsidR="00CA4BBA" w:rsidRDefault="00CA4BBA" w:rsidP="00CA4BB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Map:</w:t>
      </w:r>
    </w:p>
    <w:p w:rsidR="00CA4BBA" w:rsidRDefault="00CA4BBA" w:rsidP="00CA4BBA">
      <w:pPr>
        <w:pStyle w:val="ListParagraph"/>
        <w:ind w:left="0"/>
        <w:rPr>
          <w:rFonts w:ascii="Arial" w:hAnsi="Arial" w:cs="Arial"/>
        </w:rPr>
      </w:pPr>
    </w:p>
    <w:p w:rsidR="00CA4BBA" w:rsidRDefault="00CA4BBA" w:rsidP="00CA4BB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0CDDF94" wp14:editId="4506E31E">
            <wp:extent cx="4461461" cy="2793600"/>
            <wp:effectExtent l="0" t="0" r="0" b="6985"/>
            <wp:docPr id="5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1" t="23119" r="27792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672" cy="279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BA" w:rsidRDefault="00CA4BBA" w:rsidP="00CA4BBA">
      <w:pPr>
        <w:rPr>
          <w:rFonts w:ascii="Arial" w:hAnsi="Arial" w:cs="Arial"/>
        </w:rPr>
        <w:sectPr w:rsidR="00CA4BBA" w:rsidSect="00CA4BBA">
          <w:type w:val="continuous"/>
          <w:pgSz w:w="16839" w:h="23814" w:code="8"/>
          <w:pgMar w:top="2127" w:right="1440" w:bottom="426" w:left="1440" w:header="708" w:footer="708" w:gutter="0"/>
          <w:cols w:num="2" w:space="173"/>
          <w:docGrid w:linePitch="360"/>
        </w:sectPr>
      </w:pPr>
    </w:p>
    <w:p w:rsidR="008672BC" w:rsidRDefault="008672BC" w:rsidP="00CA4BBA">
      <w:pPr>
        <w:rPr>
          <w:rFonts w:ascii="Arial" w:hAnsi="Arial" w:cs="Arial"/>
        </w:rPr>
      </w:pPr>
    </w:p>
    <w:sectPr w:rsidR="008672BC" w:rsidSect="00CA4BBA">
      <w:type w:val="continuous"/>
      <w:pgSz w:w="16839" w:h="23814" w:code="8"/>
      <w:pgMar w:top="2127" w:right="1440" w:bottom="426" w:left="1440" w:header="708" w:footer="708" w:gutter="0"/>
      <w:cols w:num="2" w:space="17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43" w:rsidRDefault="003E3043" w:rsidP="003E3043">
      <w:r>
        <w:separator/>
      </w:r>
    </w:p>
  </w:endnote>
  <w:endnote w:type="continuationSeparator" w:id="0">
    <w:p w:rsidR="003E3043" w:rsidRDefault="003E3043" w:rsidP="003E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90" w:rsidRDefault="00C13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90" w:rsidRDefault="00C13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90" w:rsidRDefault="00C1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43" w:rsidRDefault="003E3043" w:rsidP="003E3043">
      <w:r>
        <w:separator/>
      </w:r>
    </w:p>
  </w:footnote>
  <w:footnote w:type="continuationSeparator" w:id="0">
    <w:p w:rsidR="003E3043" w:rsidRDefault="003E3043" w:rsidP="003E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90" w:rsidRDefault="00C13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90" w:rsidRDefault="00C13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90" w:rsidRDefault="00C13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E7797"/>
    <w:multiLevelType w:val="hybridMultilevel"/>
    <w:tmpl w:val="715AFFF0"/>
    <w:lvl w:ilvl="0" w:tplc="25FE083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2418"/>
    <w:multiLevelType w:val="hybridMultilevel"/>
    <w:tmpl w:val="4E7C3B52"/>
    <w:lvl w:ilvl="0" w:tplc="047452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256F4"/>
    <w:multiLevelType w:val="hybridMultilevel"/>
    <w:tmpl w:val="CA5470AC"/>
    <w:lvl w:ilvl="0" w:tplc="77F09D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C345D"/>
    <w:multiLevelType w:val="hybridMultilevel"/>
    <w:tmpl w:val="68921BF8"/>
    <w:lvl w:ilvl="0" w:tplc="55B6986E">
      <w:start w:val="16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BC4466"/>
    <w:multiLevelType w:val="hybridMultilevel"/>
    <w:tmpl w:val="1B90D444"/>
    <w:lvl w:ilvl="0" w:tplc="D3A64054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E70"/>
    <w:rsid w:val="000347BA"/>
    <w:rsid w:val="000E1227"/>
    <w:rsid w:val="001A2F76"/>
    <w:rsid w:val="0021749D"/>
    <w:rsid w:val="00313A17"/>
    <w:rsid w:val="00317323"/>
    <w:rsid w:val="00373CFC"/>
    <w:rsid w:val="00374E70"/>
    <w:rsid w:val="003E3043"/>
    <w:rsid w:val="003E4520"/>
    <w:rsid w:val="0048171A"/>
    <w:rsid w:val="00561BD4"/>
    <w:rsid w:val="00675CCC"/>
    <w:rsid w:val="0068259F"/>
    <w:rsid w:val="008672BC"/>
    <w:rsid w:val="008D4910"/>
    <w:rsid w:val="00931FAD"/>
    <w:rsid w:val="00AC133A"/>
    <w:rsid w:val="00AD548A"/>
    <w:rsid w:val="00B507F9"/>
    <w:rsid w:val="00BF6EE4"/>
    <w:rsid w:val="00C13590"/>
    <w:rsid w:val="00C84265"/>
    <w:rsid w:val="00CA4BBA"/>
    <w:rsid w:val="00D56EB6"/>
    <w:rsid w:val="00E72B1D"/>
    <w:rsid w:val="00EC7478"/>
    <w:rsid w:val="00F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36E20-2854-4F47-8E8D-E55BDB07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4817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04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rsid w:val="0048171A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NormalWeb">
    <w:name w:val="Normal (Web)"/>
    <w:basedOn w:val="Normal"/>
    <w:uiPriority w:val="99"/>
    <w:unhideWhenUsed/>
    <w:rsid w:val="0048171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Haydon, Sarah (People)</dc:creator>
  <cp:lastModifiedBy>Haydon, Sarah (People)</cp:lastModifiedBy>
  <cp:revision>2</cp:revision>
  <cp:lastPrinted>2018-12-06T11:28:00Z</cp:lastPrinted>
  <dcterms:created xsi:type="dcterms:W3CDTF">2019-09-20T14:21:00Z</dcterms:created>
  <dcterms:modified xsi:type="dcterms:W3CDTF">2019-09-20T14:21:00Z</dcterms:modified>
</cp:coreProperties>
</file>