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2268" w:rsidRPr="00FE2268" w:rsidRDefault="00FE2268" w:rsidP="00FE2268">
      <w:pPr>
        <w:ind w:left="360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FE2268">
        <w:rPr>
          <w:rFonts w:ascii="Arial" w:hAnsi="Arial" w:cs="Arial"/>
          <w:b/>
          <w:sz w:val="32"/>
          <w:szCs w:val="32"/>
        </w:rPr>
        <w:t>77.</w:t>
      </w:r>
      <w:r w:rsidRPr="00FE2268">
        <w:rPr>
          <w:rFonts w:ascii="Arial" w:hAnsi="Arial" w:cs="Arial"/>
          <w:b/>
          <w:sz w:val="32"/>
          <w:szCs w:val="32"/>
        </w:rPr>
        <w:br/>
      </w:r>
    </w:p>
    <w:tbl>
      <w:tblPr>
        <w:tblW w:w="14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9"/>
        <w:gridCol w:w="10348"/>
      </w:tblGrid>
      <w:tr w:rsidR="00FE2268" w:rsidRPr="00FE2268" w:rsidTr="00FE2268">
        <w:trPr>
          <w:trHeight w:val="743"/>
        </w:trPr>
        <w:tc>
          <w:tcPr>
            <w:tcW w:w="3849" w:type="dxa"/>
            <w:shd w:val="clear" w:color="auto" w:fill="auto"/>
          </w:tcPr>
          <w:p w:rsidR="00FE2268" w:rsidRPr="00FE2268" w:rsidRDefault="00FE2268" w:rsidP="00FE226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E2268">
              <w:rPr>
                <w:rFonts w:ascii="Arial" w:hAnsi="Arial" w:cs="Arial"/>
                <w:sz w:val="32"/>
                <w:szCs w:val="32"/>
              </w:rPr>
              <w:t>Site</w:t>
            </w:r>
            <w:r w:rsidRPr="00FE2268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0348" w:type="dxa"/>
            <w:shd w:val="clear" w:color="auto" w:fill="auto"/>
          </w:tcPr>
          <w:p w:rsidR="00FE2268" w:rsidRPr="00FE2268" w:rsidRDefault="00FE2268" w:rsidP="00FE2268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FE2268">
              <w:rPr>
                <w:rFonts w:ascii="Arial" w:hAnsi="Arial" w:cs="Arial"/>
                <w:b/>
                <w:sz w:val="32"/>
                <w:szCs w:val="32"/>
              </w:rPr>
              <w:t>Brook Street Green Space</w:t>
            </w:r>
          </w:p>
        </w:tc>
      </w:tr>
      <w:tr w:rsidR="00FE2268" w:rsidRPr="00FE2268" w:rsidTr="00FE2268">
        <w:trPr>
          <w:trHeight w:val="1085"/>
        </w:trPr>
        <w:tc>
          <w:tcPr>
            <w:tcW w:w="3849" w:type="dxa"/>
            <w:shd w:val="clear" w:color="auto" w:fill="auto"/>
          </w:tcPr>
          <w:p w:rsidR="00FE2268" w:rsidRPr="00FE2268" w:rsidRDefault="00FE2268" w:rsidP="00FE226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E2268">
              <w:rPr>
                <w:rFonts w:ascii="Arial" w:hAnsi="Arial" w:cs="Arial"/>
                <w:sz w:val="32"/>
                <w:szCs w:val="32"/>
              </w:rPr>
              <w:t>Grid Reference / Post Code</w:t>
            </w:r>
            <w:r w:rsidRPr="00FE2268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0348" w:type="dxa"/>
            <w:shd w:val="clear" w:color="auto" w:fill="auto"/>
          </w:tcPr>
          <w:p w:rsidR="00FE2268" w:rsidRPr="00FE2268" w:rsidRDefault="00FE2268" w:rsidP="00FE226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FE2268">
              <w:rPr>
                <w:rFonts w:ascii="Arial" w:hAnsi="Arial" w:cs="Arial"/>
                <w:sz w:val="32"/>
                <w:szCs w:val="32"/>
              </w:rPr>
              <w:t>53°06'10.2"N</w:t>
            </w:r>
            <w:proofErr w:type="spellEnd"/>
            <w:r w:rsidRPr="00FE2268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FE2268">
              <w:rPr>
                <w:rFonts w:ascii="Arial" w:hAnsi="Arial" w:cs="Arial"/>
                <w:sz w:val="32"/>
                <w:szCs w:val="32"/>
              </w:rPr>
              <w:t>2°11'17.4"W</w:t>
            </w:r>
            <w:proofErr w:type="spellEnd"/>
          </w:p>
          <w:p w:rsidR="00FE2268" w:rsidRPr="00FE2268" w:rsidRDefault="00FE2268" w:rsidP="00FE226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E2268" w:rsidRPr="00FE2268" w:rsidTr="00FE2268">
        <w:trPr>
          <w:trHeight w:val="1488"/>
        </w:trPr>
        <w:tc>
          <w:tcPr>
            <w:tcW w:w="3849" w:type="dxa"/>
            <w:shd w:val="clear" w:color="auto" w:fill="auto"/>
          </w:tcPr>
          <w:p w:rsidR="00FE2268" w:rsidRPr="00FE2268" w:rsidRDefault="00FE2268" w:rsidP="00FE226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E2268">
              <w:rPr>
                <w:rFonts w:ascii="Arial" w:hAnsi="Arial" w:cs="Arial"/>
                <w:sz w:val="32"/>
                <w:szCs w:val="32"/>
              </w:rPr>
              <w:t>Brief Description</w:t>
            </w:r>
          </w:p>
        </w:tc>
        <w:tc>
          <w:tcPr>
            <w:tcW w:w="10348" w:type="dxa"/>
            <w:shd w:val="clear" w:color="auto" w:fill="auto"/>
          </w:tcPr>
          <w:p w:rsidR="00FE2268" w:rsidRPr="00FE2268" w:rsidRDefault="00FE2268" w:rsidP="00FE226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E2268">
              <w:rPr>
                <w:rFonts w:ascii="Arial" w:hAnsi="Arial" w:cs="Arial"/>
                <w:sz w:val="32"/>
                <w:szCs w:val="32"/>
              </w:rPr>
              <w:t>Small green spaces off brook street; one site with raised beds and a long flower bed, looked after and planted by local residents with help from Biddulph in Bloom.</w:t>
            </w:r>
          </w:p>
        </w:tc>
      </w:tr>
    </w:tbl>
    <w:p w:rsidR="00FE2268" w:rsidRPr="00FE2268" w:rsidRDefault="00FE2268" w:rsidP="00FE2268">
      <w:pPr>
        <w:jc w:val="center"/>
        <w:rPr>
          <w:rFonts w:ascii="Arial" w:hAnsi="Arial" w:cs="Arial"/>
          <w:sz w:val="32"/>
          <w:szCs w:val="32"/>
        </w:rPr>
      </w:pPr>
    </w:p>
    <w:tbl>
      <w:tblPr>
        <w:tblW w:w="14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7"/>
        <w:gridCol w:w="868"/>
        <w:gridCol w:w="7982"/>
      </w:tblGrid>
      <w:tr w:rsidR="00FE2268" w:rsidRPr="00FE2268" w:rsidTr="00FE2268">
        <w:trPr>
          <w:trHeight w:val="357"/>
        </w:trPr>
        <w:tc>
          <w:tcPr>
            <w:tcW w:w="5377" w:type="dxa"/>
            <w:shd w:val="clear" w:color="auto" w:fill="auto"/>
          </w:tcPr>
          <w:p w:rsidR="00FE2268" w:rsidRPr="00FE2268" w:rsidRDefault="00FE2268" w:rsidP="00FE226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E2268">
              <w:rPr>
                <w:rFonts w:ascii="Arial" w:hAnsi="Arial" w:cs="Arial"/>
                <w:sz w:val="32"/>
                <w:szCs w:val="32"/>
              </w:rPr>
              <w:t>Criteria.</w:t>
            </w:r>
          </w:p>
        </w:tc>
        <w:tc>
          <w:tcPr>
            <w:tcW w:w="868" w:type="dxa"/>
            <w:shd w:val="clear" w:color="auto" w:fill="auto"/>
          </w:tcPr>
          <w:p w:rsidR="00FE2268" w:rsidRPr="00FE2268" w:rsidRDefault="00FE2268" w:rsidP="00FE226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982" w:type="dxa"/>
            <w:shd w:val="clear" w:color="auto" w:fill="auto"/>
          </w:tcPr>
          <w:p w:rsidR="00FE2268" w:rsidRPr="00FE2268" w:rsidRDefault="00FE2268" w:rsidP="00FE226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E2268" w:rsidRPr="00FE2268" w:rsidTr="00FE2268">
        <w:trPr>
          <w:trHeight w:val="1400"/>
        </w:trPr>
        <w:tc>
          <w:tcPr>
            <w:tcW w:w="5377" w:type="dxa"/>
            <w:shd w:val="clear" w:color="auto" w:fill="auto"/>
          </w:tcPr>
          <w:p w:rsidR="00FE2268" w:rsidRPr="00FE2268" w:rsidRDefault="00FE2268" w:rsidP="00FE226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E2268">
              <w:rPr>
                <w:rFonts w:ascii="Arial" w:hAnsi="Arial" w:cs="Arial"/>
                <w:sz w:val="32"/>
                <w:szCs w:val="32"/>
              </w:rPr>
              <w:t>Location</w:t>
            </w:r>
            <w:r w:rsidRPr="00FE2268">
              <w:rPr>
                <w:rFonts w:ascii="Arial" w:hAnsi="Arial" w:cs="Arial"/>
                <w:sz w:val="32"/>
                <w:szCs w:val="32"/>
              </w:rPr>
              <w:br/>
            </w:r>
            <w:r w:rsidRPr="00FE2268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In reasonably close proximity to the community it serves</w:t>
            </w:r>
          </w:p>
        </w:tc>
        <w:tc>
          <w:tcPr>
            <w:tcW w:w="868" w:type="dxa"/>
            <w:shd w:val="clear" w:color="auto" w:fill="auto"/>
          </w:tcPr>
          <w:p w:rsidR="00FE2268" w:rsidRPr="00FE2268" w:rsidRDefault="00FE2268" w:rsidP="00FE226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E2268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982" w:type="dxa"/>
            <w:shd w:val="clear" w:color="auto" w:fill="auto"/>
          </w:tcPr>
          <w:p w:rsidR="00FE2268" w:rsidRPr="00FE2268" w:rsidRDefault="00FE2268" w:rsidP="00FE226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E2268">
              <w:rPr>
                <w:rFonts w:ascii="Arial" w:hAnsi="Arial" w:cs="Arial"/>
                <w:sz w:val="32"/>
                <w:szCs w:val="32"/>
              </w:rPr>
              <w:t>This green space is beside the pavement in Brook Street, with no barriers between.</w:t>
            </w:r>
          </w:p>
          <w:p w:rsidR="00FE2268" w:rsidRPr="00FE2268" w:rsidRDefault="00FE2268" w:rsidP="00FE226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E2268" w:rsidRPr="00FE2268" w:rsidTr="00FE2268">
        <w:trPr>
          <w:trHeight w:val="3226"/>
        </w:trPr>
        <w:tc>
          <w:tcPr>
            <w:tcW w:w="5377" w:type="dxa"/>
            <w:shd w:val="clear" w:color="auto" w:fill="auto"/>
          </w:tcPr>
          <w:p w:rsidR="00FE2268" w:rsidRPr="00FE2268" w:rsidRDefault="00FE2268" w:rsidP="00FE226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E2268">
              <w:rPr>
                <w:rFonts w:ascii="Arial" w:hAnsi="Arial" w:cs="Arial"/>
                <w:sz w:val="32"/>
                <w:szCs w:val="32"/>
              </w:rPr>
              <w:t>Local Significance</w:t>
            </w:r>
            <w:r w:rsidRPr="00FE2268">
              <w:rPr>
                <w:rFonts w:ascii="Arial" w:hAnsi="Arial" w:cs="Arial"/>
                <w:sz w:val="32"/>
                <w:szCs w:val="32"/>
              </w:rPr>
              <w:br/>
            </w:r>
            <w:r w:rsidRPr="00FE2268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Demonstrably special to a local community and holds a particular local significance, for example because of its beauty, historic significance, recreational value (including as a playing field), tranquility or richness of its wildlife.</w:t>
            </w:r>
          </w:p>
        </w:tc>
        <w:tc>
          <w:tcPr>
            <w:tcW w:w="868" w:type="dxa"/>
            <w:shd w:val="clear" w:color="auto" w:fill="auto"/>
          </w:tcPr>
          <w:p w:rsidR="00FE2268" w:rsidRPr="00FE2268" w:rsidRDefault="00FE2268" w:rsidP="00FE226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E2268" w:rsidRPr="00FE2268" w:rsidRDefault="00FE2268" w:rsidP="00FE226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E2268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982" w:type="dxa"/>
            <w:shd w:val="clear" w:color="auto" w:fill="auto"/>
          </w:tcPr>
          <w:p w:rsidR="00FE2268" w:rsidRPr="00FE2268" w:rsidRDefault="00FE2268" w:rsidP="00FE226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E2268">
              <w:rPr>
                <w:rFonts w:ascii="Arial" w:hAnsi="Arial" w:cs="Arial"/>
                <w:sz w:val="32"/>
                <w:szCs w:val="32"/>
              </w:rPr>
              <w:t>Small ‘breathing space’ in a largely terraced community.</w:t>
            </w:r>
          </w:p>
          <w:p w:rsidR="00FE2268" w:rsidRPr="00FE2268" w:rsidRDefault="00FE2268" w:rsidP="00FE226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E2268">
              <w:rPr>
                <w:rFonts w:ascii="Arial" w:hAnsi="Arial" w:cs="Arial"/>
                <w:sz w:val="32"/>
                <w:szCs w:val="32"/>
              </w:rPr>
              <w:t>A small birch tree was recently planted by residents to support a ‘poppy net’ as part of centenary remembrance. The raised beds are planted by the residents’ association, with support from Biddulph in Bloom.</w:t>
            </w:r>
          </w:p>
          <w:p w:rsidR="00FE2268" w:rsidRPr="00FE2268" w:rsidRDefault="00FE2268" w:rsidP="00FE226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E2268">
              <w:rPr>
                <w:rFonts w:ascii="Arial" w:hAnsi="Arial" w:cs="Arial"/>
                <w:sz w:val="32"/>
                <w:szCs w:val="32"/>
              </w:rPr>
              <w:t>Evidence of wildlife and good visual attractiveness.</w:t>
            </w:r>
          </w:p>
        </w:tc>
      </w:tr>
      <w:tr w:rsidR="00FE2268" w:rsidRPr="00FE2268" w:rsidTr="00FE2268">
        <w:trPr>
          <w:trHeight w:val="1400"/>
        </w:trPr>
        <w:tc>
          <w:tcPr>
            <w:tcW w:w="5377" w:type="dxa"/>
            <w:shd w:val="clear" w:color="auto" w:fill="auto"/>
          </w:tcPr>
          <w:p w:rsidR="00FE2268" w:rsidRPr="00FE2268" w:rsidRDefault="00FE2268" w:rsidP="00FE226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E2268">
              <w:rPr>
                <w:rFonts w:ascii="Arial" w:hAnsi="Arial" w:cs="Arial"/>
                <w:sz w:val="32"/>
                <w:szCs w:val="32"/>
              </w:rPr>
              <w:t>Size, Scale</w:t>
            </w:r>
            <w:r w:rsidRPr="00FE2268">
              <w:rPr>
                <w:rFonts w:ascii="Arial" w:hAnsi="Arial" w:cs="Arial"/>
                <w:sz w:val="32"/>
                <w:szCs w:val="32"/>
              </w:rPr>
              <w:br/>
            </w:r>
            <w:r w:rsidRPr="00FE2268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Local in character and is not an extensive tract of land</w:t>
            </w:r>
            <w:r w:rsidRPr="00FE2268">
              <w:rPr>
                <w:rFonts w:ascii="Arial" w:hAnsi="Arial" w:cs="Arial"/>
                <w:iCs/>
                <w:sz w:val="32"/>
                <w:szCs w:val="32"/>
                <w:lang w:val="en-US"/>
              </w:rPr>
              <w:t>.</w:t>
            </w:r>
          </w:p>
        </w:tc>
        <w:tc>
          <w:tcPr>
            <w:tcW w:w="868" w:type="dxa"/>
            <w:shd w:val="clear" w:color="auto" w:fill="auto"/>
          </w:tcPr>
          <w:p w:rsidR="00FE2268" w:rsidRPr="00FE2268" w:rsidRDefault="00FE2268" w:rsidP="00FE226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E2268" w:rsidRPr="00FE2268" w:rsidRDefault="00FE2268" w:rsidP="00FE226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E2268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982" w:type="dxa"/>
            <w:shd w:val="clear" w:color="auto" w:fill="auto"/>
          </w:tcPr>
          <w:p w:rsidR="00FE2268" w:rsidRPr="00FE2268" w:rsidRDefault="00FE2268" w:rsidP="00FE226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E2268">
              <w:rPr>
                <w:rFonts w:ascii="Arial" w:hAnsi="Arial" w:cs="Arial"/>
                <w:sz w:val="32"/>
                <w:szCs w:val="32"/>
              </w:rPr>
              <w:t>Size of large allotment sites.</w:t>
            </w:r>
          </w:p>
          <w:p w:rsidR="00FE2268" w:rsidRPr="00FE2268" w:rsidRDefault="00FE2268" w:rsidP="00FE226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E2268" w:rsidRPr="00FE2268" w:rsidTr="00FE2268">
        <w:trPr>
          <w:trHeight w:val="714"/>
        </w:trPr>
        <w:tc>
          <w:tcPr>
            <w:tcW w:w="5377" w:type="dxa"/>
            <w:shd w:val="clear" w:color="auto" w:fill="auto"/>
          </w:tcPr>
          <w:p w:rsidR="00FE2268" w:rsidRPr="00FE2268" w:rsidRDefault="00FE2268" w:rsidP="00FE226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E2268">
              <w:rPr>
                <w:rFonts w:ascii="Arial" w:hAnsi="Arial" w:cs="Arial"/>
                <w:sz w:val="32"/>
                <w:szCs w:val="32"/>
              </w:rPr>
              <w:t>Recommendation</w:t>
            </w:r>
          </w:p>
        </w:tc>
        <w:tc>
          <w:tcPr>
            <w:tcW w:w="868" w:type="dxa"/>
            <w:shd w:val="clear" w:color="auto" w:fill="auto"/>
          </w:tcPr>
          <w:p w:rsidR="00FE2268" w:rsidRPr="00FE2268" w:rsidRDefault="00FE2268" w:rsidP="00FE226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982" w:type="dxa"/>
            <w:shd w:val="clear" w:color="auto" w:fill="auto"/>
          </w:tcPr>
          <w:p w:rsidR="00FE2268" w:rsidRPr="00FE2268" w:rsidRDefault="00FE2268" w:rsidP="00FE2268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E2268">
              <w:rPr>
                <w:rFonts w:ascii="Arial" w:hAnsi="Arial" w:cs="Arial"/>
                <w:sz w:val="32"/>
                <w:szCs w:val="32"/>
              </w:rPr>
              <w:t>Suitable for Local Green Space Designation</w:t>
            </w:r>
          </w:p>
        </w:tc>
      </w:tr>
    </w:tbl>
    <w:p w:rsidR="00FE2268" w:rsidRPr="00FE2268" w:rsidRDefault="00FE2268" w:rsidP="00FE2268">
      <w:pPr>
        <w:jc w:val="center"/>
        <w:rPr>
          <w:rFonts w:ascii="Arial" w:hAnsi="Arial" w:cs="Arial"/>
        </w:rPr>
      </w:pPr>
    </w:p>
    <w:p w:rsidR="00FE2268" w:rsidRDefault="00FE2268" w:rsidP="00FE2268">
      <w:pPr>
        <w:jc w:val="center"/>
        <w:rPr>
          <w:rFonts w:ascii="Arial" w:hAnsi="Arial" w:cs="Arial"/>
        </w:rPr>
        <w:sectPr w:rsidR="00FE2268" w:rsidSect="00FE226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8" w:h="23811" w:code="8"/>
          <w:pgMar w:top="1440" w:right="1440" w:bottom="1440" w:left="1440" w:header="708" w:footer="708" w:gutter="0"/>
          <w:cols w:space="708"/>
          <w:docGrid w:linePitch="360"/>
        </w:sectPr>
      </w:pPr>
    </w:p>
    <w:p w:rsidR="00FE2268" w:rsidRPr="00FE2268" w:rsidRDefault="00FE2268" w:rsidP="00FE2268">
      <w:pPr>
        <w:jc w:val="center"/>
        <w:rPr>
          <w:rFonts w:ascii="Arial" w:hAnsi="Arial" w:cs="Arial"/>
        </w:rPr>
      </w:pPr>
      <w:r w:rsidRPr="00FE2268">
        <w:rPr>
          <w:rFonts w:ascii="Arial" w:hAnsi="Arial" w:cs="Arial"/>
        </w:rPr>
        <w:t>Pictures:</w:t>
      </w:r>
    </w:p>
    <w:p w:rsidR="00FE2268" w:rsidRPr="00FE2268" w:rsidRDefault="00FE2268" w:rsidP="00FE2268">
      <w:pPr>
        <w:jc w:val="center"/>
        <w:rPr>
          <w:rFonts w:ascii="Arial" w:hAnsi="Arial" w:cs="Arial"/>
        </w:rPr>
      </w:pPr>
    </w:p>
    <w:p w:rsidR="00FE2268" w:rsidRPr="00FE2268" w:rsidRDefault="00FE2268" w:rsidP="00FE2268">
      <w:pPr>
        <w:jc w:val="center"/>
        <w:rPr>
          <w:rFonts w:ascii="Arial" w:hAnsi="Arial" w:cs="Arial"/>
        </w:rPr>
      </w:pPr>
    </w:p>
    <w:p w:rsidR="00FE2268" w:rsidRPr="00FE2268" w:rsidRDefault="00FE2268" w:rsidP="00FE2268">
      <w:pPr>
        <w:jc w:val="center"/>
        <w:rPr>
          <w:rFonts w:ascii="Arial" w:hAnsi="Arial" w:cs="Arial"/>
        </w:rPr>
      </w:pPr>
      <w:r w:rsidRPr="00FE2268">
        <w:rPr>
          <w:rFonts w:ascii="Arial" w:hAnsi="Arial" w:cs="Arial"/>
          <w:noProof/>
        </w:rPr>
        <w:drawing>
          <wp:inline distT="0" distB="0" distL="0" distR="0">
            <wp:extent cx="3928276" cy="19480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204" cy="195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268" w:rsidRPr="00FE2268" w:rsidRDefault="00FE2268" w:rsidP="00FE2268">
      <w:pPr>
        <w:jc w:val="center"/>
        <w:rPr>
          <w:rFonts w:ascii="Arial" w:hAnsi="Arial" w:cs="Arial"/>
        </w:rPr>
      </w:pPr>
      <w:r w:rsidRPr="00FE2268">
        <w:rPr>
          <w:rFonts w:ascii="Arial" w:hAnsi="Arial" w:cs="Arial"/>
          <w:noProof/>
        </w:rPr>
        <w:drawing>
          <wp:inline distT="0" distB="0" distL="0" distR="0">
            <wp:extent cx="3511553" cy="2166731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506" cy="217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268" w:rsidRPr="00FE2268" w:rsidRDefault="00FE2268" w:rsidP="00FE2268">
      <w:pPr>
        <w:jc w:val="center"/>
        <w:rPr>
          <w:rFonts w:ascii="Arial" w:hAnsi="Arial" w:cs="Arial"/>
        </w:rPr>
      </w:pPr>
    </w:p>
    <w:p w:rsidR="00FE2268" w:rsidRPr="00FE2268" w:rsidRDefault="00FE2268" w:rsidP="00FE2268">
      <w:pPr>
        <w:jc w:val="center"/>
        <w:rPr>
          <w:rFonts w:ascii="Arial" w:hAnsi="Arial" w:cs="Arial"/>
        </w:rPr>
      </w:pPr>
      <w:r w:rsidRPr="00FE2268">
        <w:rPr>
          <w:rFonts w:ascii="Arial" w:hAnsi="Arial" w:cs="Arial"/>
        </w:rPr>
        <w:t>Map:</w:t>
      </w:r>
    </w:p>
    <w:p w:rsidR="00FE2268" w:rsidRDefault="00FE2268" w:rsidP="00FE2268">
      <w:pPr>
        <w:jc w:val="center"/>
        <w:rPr>
          <w:rFonts w:ascii="Arial" w:hAnsi="Arial" w:cs="Arial"/>
        </w:rPr>
      </w:pPr>
    </w:p>
    <w:p w:rsidR="00FE2268" w:rsidRDefault="00FE2268" w:rsidP="00FE2268">
      <w:pPr>
        <w:jc w:val="center"/>
        <w:rPr>
          <w:rFonts w:ascii="Arial" w:hAnsi="Arial" w:cs="Arial"/>
        </w:rPr>
        <w:sectPr w:rsidR="00FE2268" w:rsidSect="00FE2268">
          <w:type w:val="continuous"/>
          <w:pgSz w:w="16838" w:h="23811" w:code="8"/>
          <w:pgMar w:top="1440" w:right="1440" w:bottom="1440" w:left="1440" w:header="708" w:footer="708" w:gutter="0"/>
          <w:cols w:num="2" w:space="708"/>
          <w:docGrid w:linePitch="360"/>
        </w:sectPr>
      </w:pPr>
    </w:p>
    <w:p w:rsidR="00FE2268" w:rsidRDefault="00FE2268" w:rsidP="00FE2268">
      <w:pPr>
        <w:jc w:val="center"/>
        <w:rPr>
          <w:rFonts w:ascii="Arial" w:hAnsi="Arial" w:cs="Arial"/>
        </w:rPr>
      </w:pPr>
    </w:p>
    <w:p w:rsidR="00FE2268" w:rsidRDefault="00FE2268" w:rsidP="00FE2268">
      <w:pPr>
        <w:jc w:val="center"/>
        <w:rPr>
          <w:rFonts w:ascii="Arial" w:hAnsi="Arial" w:cs="Arial"/>
        </w:rPr>
      </w:pPr>
    </w:p>
    <w:p w:rsidR="00FE2268" w:rsidRDefault="00FE2268" w:rsidP="00FE2268">
      <w:pPr>
        <w:jc w:val="center"/>
        <w:rPr>
          <w:rFonts w:ascii="Arial" w:hAnsi="Arial" w:cs="Arial"/>
        </w:rPr>
      </w:pPr>
    </w:p>
    <w:p w:rsidR="00FE2268" w:rsidRPr="00FE2268" w:rsidRDefault="00FE2268" w:rsidP="00FE2268">
      <w:pPr>
        <w:jc w:val="center"/>
        <w:rPr>
          <w:rFonts w:ascii="Arial" w:hAnsi="Arial" w:cs="Arial"/>
        </w:rPr>
      </w:pPr>
      <w:r w:rsidRPr="00FE2268">
        <w:rPr>
          <w:rFonts w:ascii="Arial" w:hAnsi="Arial" w:cs="Arial"/>
          <w:noProof/>
        </w:rPr>
        <w:drawing>
          <wp:inline distT="0" distB="0" distL="0" distR="0">
            <wp:extent cx="3716931" cy="2757893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009" cy="275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B02" w:rsidRPr="00FE2268" w:rsidRDefault="009C6B02" w:rsidP="00FE2268"/>
    <w:sectPr w:rsidR="009C6B02" w:rsidRPr="00FE2268" w:rsidSect="00FE2268">
      <w:type w:val="continuous"/>
      <w:pgSz w:w="16838" w:h="23811" w:code="8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4964" w:rsidRDefault="00094964" w:rsidP="00094964">
      <w:r>
        <w:separator/>
      </w:r>
    </w:p>
  </w:endnote>
  <w:endnote w:type="continuationSeparator" w:id="0">
    <w:p w:rsidR="00094964" w:rsidRDefault="00094964" w:rsidP="00094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4964" w:rsidRDefault="000949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4964" w:rsidRDefault="0009496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4964" w:rsidRDefault="000949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4964" w:rsidRDefault="00094964" w:rsidP="00094964">
      <w:r>
        <w:separator/>
      </w:r>
    </w:p>
  </w:footnote>
  <w:footnote w:type="continuationSeparator" w:id="0">
    <w:p w:rsidR="00094964" w:rsidRDefault="00094964" w:rsidP="000949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4964" w:rsidRDefault="000949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4964" w:rsidRDefault="0009496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4964" w:rsidRDefault="000949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364BF"/>
    <w:multiLevelType w:val="hybridMultilevel"/>
    <w:tmpl w:val="B60A1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60310D"/>
    <w:multiLevelType w:val="hybridMultilevel"/>
    <w:tmpl w:val="1DFA6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0E5316"/>
    <w:multiLevelType w:val="hybridMultilevel"/>
    <w:tmpl w:val="3EDAB7CC"/>
    <w:lvl w:ilvl="0" w:tplc="9DF89C3C">
      <w:start w:val="7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4C4EB7"/>
    <w:multiLevelType w:val="hybridMultilevel"/>
    <w:tmpl w:val="D9A2C044"/>
    <w:lvl w:ilvl="0" w:tplc="4F5E29D8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561"/>
    <w:rsid w:val="00070724"/>
    <w:rsid w:val="00094964"/>
    <w:rsid w:val="00133561"/>
    <w:rsid w:val="003A461B"/>
    <w:rsid w:val="0045358D"/>
    <w:rsid w:val="004552DE"/>
    <w:rsid w:val="005D5BFE"/>
    <w:rsid w:val="00834D45"/>
    <w:rsid w:val="008F5540"/>
    <w:rsid w:val="009C6B02"/>
    <w:rsid w:val="00BD2124"/>
    <w:rsid w:val="00ED4F73"/>
    <w:rsid w:val="00FE2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293377F-4045-4380-96A6-929E42077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33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3561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49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964"/>
    <w:rPr>
      <w:rFonts w:ascii="Segoe UI" w:eastAsia="Times New Roman" w:hAnsi="Segoe UI" w:cs="Segoe UI"/>
      <w:sz w:val="18"/>
      <w:szCs w:val="18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0949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4964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09496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4964"/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Haydon, Sarah (People)</dc:creator>
  <cp:keywords/>
  <dc:description/>
  <cp:lastModifiedBy>Haydon, Sarah (People)</cp:lastModifiedBy>
  <cp:revision>2</cp:revision>
  <cp:lastPrinted>2018-12-13T12:18:00Z</cp:lastPrinted>
  <dcterms:created xsi:type="dcterms:W3CDTF">2019-09-20T15:28:00Z</dcterms:created>
  <dcterms:modified xsi:type="dcterms:W3CDTF">2019-09-20T15:28:00Z</dcterms:modified>
</cp:coreProperties>
</file>