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8A" w:rsidRPr="00CA3E7C" w:rsidRDefault="00AD548A" w:rsidP="000E1227">
      <w:pPr>
        <w:spacing w:before="100" w:beforeAutospacing="1" w:after="100" w:afterAutospacing="1"/>
        <w:jc w:val="center"/>
        <w:rPr>
          <w:rFonts w:ascii="Arial" w:hAnsi="Arial" w:cs="Arial"/>
          <w:b/>
        </w:rPr>
      </w:pPr>
    </w:p>
    <w:p w:rsidR="000E1227" w:rsidRPr="000E1227" w:rsidRDefault="000E1227" w:rsidP="000E1227">
      <w:pPr>
        <w:spacing w:before="100" w:beforeAutospacing="1" w:after="100" w:afterAutospacing="1"/>
        <w:jc w:val="center"/>
        <w:rPr>
          <w:rFonts w:ascii="Arial" w:hAnsi="Arial" w:cs="Arial"/>
          <w:b/>
          <w:sz w:val="32"/>
          <w:szCs w:val="32"/>
        </w:rPr>
      </w:pPr>
      <w:r w:rsidRPr="000E1227">
        <w:rPr>
          <w:rFonts w:ascii="Arial" w:hAnsi="Arial" w:cs="Arial"/>
          <w:b/>
          <w:sz w:val="32"/>
          <w:szCs w:val="32"/>
        </w:rPr>
        <w:t>6.</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10755"/>
      </w:tblGrid>
      <w:tr w:rsidR="000E1227" w:rsidRPr="000E1227" w:rsidTr="000E1227">
        <w:trPr>
          <w:trHeight w:val="614"/>
        </w:trPr>
        <w:tc>
          <w:tcPr>
            <w:tcW w:w="4000"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Site</w:t>
            </w:r>
            <w:r w:rsidRPr="000E1227">
              <w:rPr>
                <w:rFonts w:ascii="Arial" w:hAnsi="Arial" w:cs="Arial"/>
                <w:sz w:val="32"/>
                <w:szCs w:val="32"/>
              </w:rPr>
              <w:br/>
            </w:r>
          </w:p>
        </w:tc>
        <w:tc>
          <w:tcPr>
            <w:tcW w:w="10755" w:type="dxa"/>
            <w:shd w:val="clear" w:color="auto" w:fill="auto"/>
          </w:tcPr>
          <w:p w:rsidR="000E1227" w:rsidRPr="00541C6C" w:rsidRDefault="00541C6C" w:rsidP="00541C6C">
            <w:pPr>
              <w:spacing w:before="100" w:beforeAutospacing="1" w:after="100" w:afterAutospacing="1"/>
              <w:jc w:val="center"/>
              <w:rPr>
                <w:rFonts w:ascii="Arial" w:hAnsi="Arial" w:cs="Arial"/>
                <w:b/>
                <w:sz w:val="32"/>
                <w:szCs w:val="32"/>
              </w:rPr>
            </w:pPr>
            <w:bookmarkStart w:id="0" w:name="_GoBack"/>
            <w:bookmarkEnd w:id="0"/>
            <w:r>
              <w:rPr>
                <w:rFonts w:ascii="Arial" w:hAnsi="Arial" w:cs="Arial"/>
                <w:b/>
                <w:sz w:val="32"/>
                <w:szCs w:val="32"/>
              </w:rPr>
              <w:t>Fold Lane Gateway to the Town</w:t>
            </w:r>
          </w:p>
        </w:tc>
      </w:tr>
      <w:tr w:rsidR="000E1227" w:rsidRPr="000E1227" w:rsidTr="000E1227">
        <w:trPr>
          <w:trHeight w:val="670"/>
        </w:trPr>
        <w:tc>
          <w:tcPr>
            <w:tcW w:w="4000"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Grid Reference / Post Code</w:t>
            </w:r>
            <w:r w:rsidRPr="000E1227">
              <w:rPr>
                <w:rFonts w:ascii="Arial" w:hAnsi="Arial" w:cs="Arial"/>
                <w:sz w:val="32"/>
                <w:szCs w:val="32"/>
              </w:rPr>
              <w:br/>
            </w:r>
          </w:p>
        </w:tc>
        <w:tc>
          <w:tcPr>
            <w:tcW w:w="10755"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SJ888, 595</w:t>
            </w:r>
          </w:p>
        </w:tc>
      </w:tr>
      <w:tr w:rsidR="000E1227" w:rsidRPr="000E1227" w:rsidTr="000E1227">
        <w:trPr>
          <w:trHeight w:val="1577"/>
        </w:trPr>
        <w:tc>
          <w:tcPr>
            <w:tcW w:w="4000"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Brief Description</w:t>
            </w:r>
            <w:r w:rsidRPr="000E1227">
              <w:rPr>
                <w:rFonts w:ascii="Arial" w:hAnsi="Arial" w:cs="Arial"/>
                <w:sz w:val="32"/>
                <w:szCs w:val="32"/>
              </w:rPr>
              <w:br/>
            </w:r>
          </w:p>
        </w:tc>
        <w:tc>
          <w:tcPr>
            <w:tcW w:w="10755"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The grass verges are on the junction of Fold Lane with Congleton Road.  Biddulph in Bloom volunteers perform this voluntary work regardless of whether the town is putting an entry into the competition or not.  Therefore, it is an endeavour done by the people of the town, for the people of the town.  This is a particularly good example (by Biddulph in Bloom) and provides a beautiful passageway into the town from the north.</w:t>
            </w:r>
          </w:p>
        </w:tc>
      </w:tr>
    </w:tbl>
    <w:p w:rsidR="000E1227" w:rsidRDefault="000E1227" w:rsidP="000E1227">
      <w:pPr>
        <w:spacing w:before="100" w:beforeAutospacing="1" w:after="100" w:afterAutospacing="1"/>
        <w:jc w:val="center"/>
        <w:rPr>
          <w:rFonts w:ascii="Arial" w:hAnsi="Arial" w:cs="Arial"/>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902"/>
        <w:gridCol w:w="8292"/>
      </w:tblGrid>
      <w:tr w:rsidR="000E1227" w:rsidRPr="000E1227" w:rsidTr="000E1227">
        <w:trPr>
          <w:trHeight w:val="371"/>
        </w:trPr>
        <w:tc>
          <w:tcPr>
            <w:tcW w:w="5586"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Criteria.</w:t>
            </w:r>
          </w:p>
        </w:tc>
        <w:tc>
          <w:tcPr>
            <w:tcW w:w="90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p>
        </w:tc>
        <w:tc>
          <w:tcPr>
            <w:tcW w:w="829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p>
        </w:tc>
      </w:tr>
      <w:tr w:rsidR="000E1227" w:rsidRPr="000E1227" w:rsidTr="000E1227">
        <w:trPr>
          <w:trHeight w:val="1547"/>
        </w:trPr>
        <w:tc>
          <w:tcPr>
            <w:tcW w:w="5586"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Location</w:t>
            </w:r>
            <w:r w:rsidRPr="000E1227">
              <w:rPr>
                <w:rFonts w:ascii="Arial" w:hAnsi="Arial" w:cs="Arial"/>
                <w:sz w:val="32"/>
                <w:szCs w:val="32"/>
              </w:rPr>
              <w:br/>
            </w:r>
            <w:r w:rsidRPr="000E1227">
              <w:rPr>
                <w:rFonts w:ascii="Arial" w:hAnsi="Arial" w:cs="Arial"/>
                <w:i/>
                <w:iCs/>
                <w:sz w:val="32"/>
                <w:szCs w:val="32"/>
                <w:lang w:val="en-US"/>
              </w:rPr>
              <w:t>In reasonably close proximity to the community it serves</w:t>
            </w:r>
          </w:p>
        </w:tc>
        <w:tc>
          <w:tcPr>
            <w:tcW w:w="90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p>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b/>
                <w:sz w:val="32"/>
                <w:szCs w:val="32"/>
              </w:rPr>
              <w:t>√</w:t>
            </w:r>
          </w:p>
        </w:tc>
        <w:tc>
          <w:tcPr>
            <w:tcW w:w="829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iCs/>
                <w:sz w:val="32"/>
                <w:szCs w:val="32"/>
                <w:lang w:val="en-US"/>
              </w:rPr>
              <w:t>It is 2 triangular grass verges by the main road side.  There is a seating bench on the site which allows for quiet appreciation of the planting.  It provides a pleasant entrance to the town from the north.</w:t>
            </w:r>
          </w:p>
        </w:tc>
      </w:tr>
      <w:tr w:rsidR="000E1227" w:rsidRPr="000E1227" w:rsidTr="000E1227">
        <w:trPr>
          <w:trHeight w:val="4262"/>
        </w:trPr>
        <w:tc>
          <w:tcPr>
            <w:tcW w:w="5586"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Local Significance</w:t>
            </w:r>
            <w:r w:rsidRPr="000E1227">
              <w:rPr>
                <w:rFonts w:ascii="Arial" w:hAnsi="Arial" w:cs="Arial"/>
                <w:sz w:val="32"/>
                <w:szCs w:val="32"/>
              </w:rPr>
              <w:br/>
            </w:r>
            <w:r w:rsidRPr="000E1227">
              <w:rPr>
                <w:rFonts w:ascii="Arial" w:hAnsi="Arial" w:cs="Arial"/>
                <w:i/>
                <w:iCs/>
                <w:sz w:val="32"/>
                <w:szCs w:val="32"/>
                <w:lang w:val="en-US"/>
              </w:rPr>
              <w:t>Demonstrably special to a local community and holds a particular local significance, for example because of its beauty, historic significance, recreational value (including as a playing field), tranquility or richness of its wildlife.</w:t>
            </w:r>
          </w:p>
        </w:tc>
        <w:tc>
          <w:tcPr>
            <w:tcW w:w="90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p>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b/>
                <w:sz w:val="32"/>
                <w:szCs w:val="32"/>
              </w:rPr>
              <w:t>√</w:t>
            </w:r>
          </w:p>
        </w:tc>
        <w:tc>
          <w:tcPr>
            <w:tcW w:w="829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iCs/>
                <w:sz w:val="32"/>
                <w:szCs w:val="32"/>
                <w:lang w:val="en-US"/>
              </w:rPr>
              <w:t>This work has been being carried out on a voluntary basis by the people of the town for more than 20 years.  It is hugely valued by the people of the town and its visitors.  This work is carried out throughout the year and these grass verges in particular are very well maintained.  On entering the town these planted verges reinforces Biddulph’s reputation as the “Garden Town of Staffordshire”.  Throughout the spring, summer and autumn months pollinators are supported by this planting and we should ensure it is not lost to them or to the people of Biddulph.</w:t>
            </w:r>
          </w:p>
        </w:tc>
      </w:tr>
      <w:tr w:rsidR="000E1227" w:rsidRPr="000E1227" w:rsidTr="000E1227">
        <w:trPr>
          <w:trHeight w:val="2126"/>
        </w:trPr>
        <w:tc>
          <w:tcPr>
            <w:tcW w:w="5586"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Size, Scale</w:t>
            </w:r>
            <w:r w:rsidRPr="000E1227">
              <w:rPr>
                <w:rFonts w:ascii="Arial" w:hAnsi="Arial" w:cs="Arial"/>
                <w:sz w:val="32"/>
                <w:szCs w:val="32"/>
              </w:rPr>
              <w:br/>
            </w:r>
            <w:r w:rsidRPr="000E1227">
              <w:rPr>
                <w:rFonts w:ascii="Arial" w:hAnsi="Arial" w:cs="Arial"/>
                <w:i/>
                <w:iCs/>
                <w:sz w:val="32"/>
                <w:szCs w:val="32"/>
                <w:lang w:val="en-US"/>
              </w:rPr>
              <w:t>Local in character and is not an extensive tract of land</w:t>
            </w:r>
            <w:r w:rsidRPr="000E1227">
              <w:rPr>
                <w:rFonts w:ascii="Arial" w:hAnsi="Arial" w:cs="Arial"/>
                <w:iCs/>
                <w:sz w:val="32"/>
                <w:szCs w:val="32"/>
                <w:lang w:val="en-US"/>
              </w:rPr>
              <w:t>.</w:t>
            </w:r>
          </w:p>
        </w:tc>
        <w:tc>
          <w:tcPr>
            <w:tcW w:w="90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p>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b/>
                <w:sz w:val="32"/>
                <w:szCs w:val="32"/>
              </w:rPr>
              <w:t>√</w:t>
            </w:r>
          </w:p>
        </w:tc>
        <w:tc>
          <w:tcPr>
            <w:tcW w:w="829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iCs/>
                <w:sz w:val="32"/>
                <w:szCs w:val="32"/>
                <w:lang w:val="en-US"/>
              </w:rPr>
              <w:t>This is not an extensive tract of land being equivalent to a small front garden in size.  It has importance to the locality in that it reminds Biddulph and its visitors that the town is home to the best example of the Victorian Garden in the country (according to Alan Titchmarsh!)</w:t>
            </w:r>
          </w:p>
        </w:tc>
      </w:tr>
      <w:tr w:rsidR="000E1227" w:rsidRPr="000E1227" w:rsidTr="000E1227">
        <w:trPr>
          <w:trHeight w:val="719"/>
        </w:trPr>
        <w:tc>
          <w:tcPr>
            <w:tcW w:w="5586"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Recommendation</w:t>
            </w:r>
          </w:p>
        </w:tc>
        <w:tc>
          <w:tcPr>
            <w:tcW w:w="90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b/>
                <w:sz w:val="32"/>
                <w:szCs w:val="32"/>
              </w:rPr>
              <w:t>√</w:t>
            </w:r>
          </w:p>
        </w:tc>
        <w:tc>
          <w:tcPr>
            <w:tcW w:w="8292" w:type="dxa"/>
            <w:shd w:val="clear" w:color="auto" w:fill="auto"/>
          </w:tcPr>
          <w:p w:rsidR="000E1227" w:rsidRPr="000E1227" w:rsidRDefault="000E1227" w:rsidP="000E1227">
            <w:pPr>
              <w:spacing w:before="100" w:beforeAutospacing="1" w:after="100" w:afterAutospacing="1"/>
              <w:jc w:val="center"/>
              <w:rPr>
                <w:rFonts w:ascii="Arial" w:hAnsi="Arial" w:cs="Arial"/>
                <w:sz w:val="32"/>
                <w:szCs w:val="32"/>
              </w:rPr>
            </w:pPr>
            <w:r w:rsidRPr="000E1227">
              <w:rPr>
                <w:rFonts w:ascii="Arial" w:hAnsi="Arial" w:cs="Arial"/>
                <w:sz w:val="32"/>
                <w:szCs w:val="32"/>
              </w:rPr>
              <w:t>Suitable for Local Green Space Designation</w:t>
            </w:r>
          </w:p>
        </w:tc>
      </w:tr>
    </w:tbl>
    <w:p w:rsidR="000E1227" w:rsidRDefault="000E1227" w:rsidP="000E1227">
      <w:pPr>
        <w:pStyle w:val="ListParagraph"/>
        <w:ind w:left="0"/>
        <w:rPr>
          <w:rFonts w:ascii="Arial" w:hAnsi="Arial" w:cs="Arial"/>
        </w:rPr>
      </w:pPr>
    </w:p>
    <w:p w:rsidR="000E1227" w:rsidRDefault="000E1227" w:rsidP="000E1227">
      <w:pPr>
        <w:pStyle w:val="ListParagraph"/>
        <w:ind w:left="0"/>
        <w:jc w:val="center"/>
        <w:rPr>
          <w:rFonts w:ascii="Arial" w:hAnsi="Arial" w:cs="Arial"/>
        </w:rPr>
      </w:pPr>
    </w:p>
    <w:p w:rsidR="000E1227" w:rsidRDefault="000E1227" w:rsidP="000E1227">
      <w:pPr>
        <w:pStyle w:val="ListParagraph"/>
        <w:ind w:left="0"/>
        <w:rPr>
          <w:rFonts w:ascii="Arial" w:hAnsi="Arial" w:cs="Arial"/>
        </w:rPr>
      </w:pPr>
      <w:r>
        <w:rPr>
          <w:rFonts w:ascii="Arial" w:hAnsi="Arial" w:cs="Arial"/>
        </w:rPr>
        <w:t>Pictures:</w:t>
      </w:r>
    </w:p>
    <w:p w:rsidR="000E1227" w:rsidRDefault="000E1227" w:rsidP="000E1227">
      <w:pPr>
        <w:pStyle w:val="ListParagraph"/>
        <w:ind w:left="0"/>
        <w:jc w:val="center"/>
        <w:rPr>
          <w:rFonts w:ascii="Arial" w:hAnsi="Arial" w:cs="Arial"/>
        </w:rPr>
        <w:sectPr w:rsidR="000E1227" w:rsidSect="000E1227">
          <w:headerReference w:type="even" r:id="rId7"/>
          <w:headerReference w:type="default" r:id="rId8"/>
          <w:footerReference w:type="even" r:id="rId9"/>
          <w:footerReference w:type="default" r:id="rId10"/>
          <w:headerReference w:type="first" r:id="rId11"/>
          <w:footerReference w:type="first" r:id="rId12"/>
          <w:pgSz w:w="16839" w:h="23814" w:code="8"/>
          <w:pgMar w:top="709" w:right="1440" w:bottom="426" w:left="1440" w:header="708" w:footer="708" w:gutter="0"/>
          <w:cols w:space="708"/>
          <w:docGrid w:linePitch="360"/>
        </w:sectPr>
      </w:pPr>
    </w:p>
    <w:p w:rsidR="000E1227" w:rsidRDefault="000E1227" w:rsidP="000E1227">
      <w:pPr>
        <w:pStyle w:val="ListParagraph"/>
        <w:ind w:left="0"/>
        <w:jc w:val="center"/>
        <w:rPr>
          <w:rFonts w:ascii="Arial" w:hAnsi="Arial" w:cs="Arial"/>
        </w:rPr>
      </w:pPr>
    </w:p>
    <w:tbl>
      <w:tblPr>
        <w:tblW w:w="0" w:type="auto"/>
        <w:tblLook w:val="04A0" w:firstRow="1" w:lastRow="0" w:firstColumn="1" w:lastColumn="0" w:noHBand="0" w:noVBand="1"/>
      </w:tblPr>
      <w:tblGrid>
        <w:gridCol w:w="3441"/>
        <w:gridCol w:w="3400"/>
      </w:tblGrid>
      <w:tr w:rsidR="000E1227" w:rsidRPr="00851204" w:rsidTr="000E1227">
        <w:tc>
          <w:tcPr>
            <w:tcW w:w="3441" w:type="dxa"/>
            <w:shd w:val="clear" w:color="auto" w:fill="auto"/>
          </w:tcPr>
          <w:p w:rsidR="000E1227" w:rsidRPr="00851204" w:rsidRDefault="000E1227" w:rsidP="000E1227">
            <w:pPr>
              <w:spacing w:before="100" w:beforeAutospacing="1" w:after="100" w:afterAutospacing="1"/>
              <w:jc w:val="center"/>
              <w:rPr>
                <w:rFonts w:ascii="Arial" w:hAnsi="Arial" w:cs="Arial"/>
                <w:b/>
              </w:rPr>
            </w:pPr>
            <w:r>
              <w:rPr>
                <w:rFonts w:ascii="Arial" w:hAnsi="Arial" w:cs="Arial"/>
                <w:b/>
                <w:noProof/>
                <w:lang w:eastAsia="en-GB"/>
              </w:rPr>
              <w:drawing>
                <wp:inline distT="0" distB="0" distL="0" distR="0" wp14:anchorId="5418AF96" wp14:editId="521500F5">
                  <wp:extent cx="2490952" cy="1860539"/>
                  <wp:effectExtent l="0" t="0" r="508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5016" cy="1856105"/>
                          </a:xfrm>
                          <a:prstGeom prst="rect">
                            <a:avLst/>
                          </a:prstGeom>
                          <a:noFill/>
                          <a:ln>
                            <a:noFill/>
                          </a:ln>
                        </pic:spPr>
                      </pic:pic>
                    </a:graphicData>
                  </a:graphic>
                </wp:inline>
              </w:drawing>
            </w:r>
          </w:p>
          <w:p w:rsidR="000E1227" w:rsidRPr="00851204" w:rsidRDefault="000E1227" w:rsidP="000E1227">
            <w:pPr>
              <w:spacing w:before="100" w:beforeAutospacing="1" w:after="100" w:afterAutospacing="1"/>
              <w:jc w:val="center"/>
              <w:rPr>
                <w:rFonts w:ascii="Arial" w:hAnsi="Arial" w:cs="Arial"/>
                <w:b/>
              </w:rPr>
            </w:pPr>
          </w:p>
        </w:tc>
        <w:tc>
          <w:tcPr>
            <w:tcW w:w="3400" w:type="dxa"/>
            <w:shd w:val="clear" w:color="auto" w:fill="auto"/>
          </w:tcPr>
          <w:p w:rsidR="000E1227" w:rsidRPr="00851204" w:rsidRDefault="000E1227" w:rsidP="000E1227">
            <w:pPr>
              <w:spacing w:before="100" w:beforeAutospacing="1" w:after="100" w:afterAutospacing="1"/>
              <w:jc w:val="center"/>
              <w:rPr>
                <w:rFonts w:ascii="Arial" w:hAnsi="Arial" w:cs="Arial"/>
                <w:b/>
              </w:rPr>
            </w:pPr>
            <w:r>
              <w:rPr>
                <w:rFonts w:ascii="Arial" w:hAnsi="Arial" w:cs="Arial"/>
                <w:b/>
                <w:noProof/>
                <w:lang w:eastAsia="en-GB"/>
              </w:rPr>
              <w:drawing>
                <wp:inline distT="0" distB="0" distL="0" distR="0" wp14:anchorId="0AD28D53" wp14:editId="4A846638">
                  <wp:extent cx="2464939" cy="1860331"/>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9323" cy="1863639"/>
                          </a:xfrm>
                          <a:prstGeom prst="rect">
                            <a:avLst/>
                          </a:prstGeom>
                          <a:noFill/>
                          <a:ln>
                            <a:noFill/>
                          </a:ln>
                        </pic:spPr>
                      </pic:pic>
                    </a:graphicData>
                  </a:graphic>
                </wp:inline>
              </w:drawing>
            </w:r>
          </w:p>
        </w:tc>
      </w:tr>
      <w:tr w:rsidR="000E1227" w:rsidRPr="00851204" w:rsidTr="000E1227">
        <w:tc>
          <w:tcPr>
            <w:tcW w:w="3441" w:type="dxa"/>
            <w:shd w:val="clear" w:color="auto" w:fill="auto"/>
          </w:tcPr>
          <w:p w:rsidR="000E1227" w:rsidRPr="00191009" w:rsidRDefault="000E1227" w:rsidP="000E1227">
            <w:pPr>
              <w:spacing w:before="100" w:beforeAutospacing="1" w:after="100" w:afterAutospacing="1"/>
              <w:jc w:val="center"/>
              <w:rPr>
                <w:rFonts w:ascii="Arial" w:hAnsi="Arial" w:cs="Arial"/>
                <w:b/>
                <w:noProof/>
                <w:lang w:eastAsia="en-GB"/>
              </w:rPr>
            </w:pPr>
            <w:r>
              <w:rPr>
                <w:rFonts w:ascii="Arial" w:hAnsi="Arial" w:cs="Arial"/>
                <w:b/>
                <w:noProof/>
                <w:lang w:eastAsia="en-GB"/>
              </w:rPr>
              <w:drawing>
                <wp:inline distT="0" distB="0" distL="0" distR="0" wp14:anchorId="54524D9B" wp14:editId="74781649">
                  <wp:extent cx="2270234" cy="16988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5426" cy="1695297"/>
                          </a:xfrm>
                          <a:prstGeom prst="rect">
                            <a:avLst/>
                          </a:prstGeom>
                          <a:noFill/>
                          <a:ln>
                            <a:noFill/>
                          </a:ln>
                        </pic:spPr>
                      </pic:pic>
                    </a:graphicData>
                  </a:graphic>
                </wp:inline>
              </w:drawing>
            </w:r>
          </w:p>
        </w:tc>
        <w:tc>
          <w:tcPr>
            <w:tcW w:w="3400" w:type="dxa"/>
            <w:shd w:val="clear" w:color="auto" w:fill="auto"/>
          </w:tcPr>
          <w:p w:rsidR="000E1227" w:rsidRPr="00191009" w:rsidRDefault="000E1227" w:rsidP="000E1227">
            <w:pPr>
              <w:spacing w:before="100" w:beforeAutospacing="1" w:after="100" w:afterAutospacing="1"/>
              <w:jc w:val="center"/>
              <w:rPr>
                <w:rFonts w:ascii="Arial" w:hAnsi="Arial" w:cs="Arial"/>
                <w:b/>
                <w:noProof/>
                <w:lang w:eastAsia="en-GB"/>
              </w:rPr>
            </w:pPr>
          </w:p>
        </w:tc>
      </w:tr>
    </w:tbl>
    <w:p w:rsidR="000E1227" w:rsidRDefault="000E1227" w:rsidP="000E1227">
      <w:pPr>
        <w:spacing w:before="100" w:beforeAutospacing="1" w:after="100" w:afterAutospacing="1"/>
        <w:rPr>
          <w:rFonts w:ascii="Arial" w:hAnsi="Arial" w:cs="Arial"/>
        </w:rPr>
      </w:pPr>
      <w:r w:rsidRPr="000E1227">
        <w:rPr>
          <w:rFonts w:ascii="Arial" w:hAnsi="Arial" w:cs="Arial"/>
        </w:rPr>
        <w:t>Map:</w:t>
      </w:r>
    </w:p>
    <w:p w:rsidR="00AD548A" w:rsidRPr="00392EFF" w:rsidRDefault="000E1227" w:rsidP="000E1227">
      <w:pPr>
        <w:spacing w:before="100" w:beforeAutospacing="1" w:after="100" w:afterAutospacing="1"/>
        <w:rPr>
          <w:rFonts w:ascii="Arial" w:hAnsi="Arial" w:cs="Arial"/>
        </w:rPr>
      </w:pPr>
      <w:r>
        <w:rPr>
          <w:rFonts w:ascii="Arial" w:hAnsi="Arial" w:cs="Arial"/>
          <w:noProof/>
          <w:lang w:eastAsia="en-GB"/>
        </w:rPr>
        <w:lastRenderedPageBreak/>
        <w:drawing>
          <wp:inline distT="0" distB="0" distL="0" distR="0" wp14:anchorId="389F2D41" wp14:editId="4D97F2A0">
            <wp:extent cx="5023673" cy="3358055"/>
            <wp:effectExtent l="0" t="0" r="5715" b="0"/>
            <wp:docPr id="1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l="14091" t="18080" r="27319" b="12201"/>
                    <a:stretch>
                      <a:fillRect/>
                    </a:stretch>
                  </pic:blipFill>
                  <pic:spPr bwMode="auto">
                    <a:xfrm>
                      <a:off x="0" y="0"/>
                      <a:ext cx="5056280" cy="3379851"/>
                    </a:xfrm>
                    <a:prstGeom prst="rect">
                      <a:avLst/>
                    </a:prstGeom>
                    <a:noFill/>
                    <a:ln>
                      <a:noFill/>
                    </a:ln>
                  </pic:spPr>
                </pic:pic>
              </a:graphicData>
            </a:graphic>
          </wp:inline>
        </w:drawing>
      </w:r>
    </w:p>
    <w:sectPr w:rsidR="00AD548A" w:rsidRPr="00392EFF" w:rsidSect="00313A17">
      <w:type w:val="continuous"/>
      <w:pgSz w:w="16839" w:h="23814" w:code="8"/>
      <w:pgMar w:top="709" w:right="1440" w:bottom="426"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43" w:rsidRDefault="003E3043" w:rsidP="003E3043">
      <w:r>
        <w:separator/>
      </w:r>
    </w:p>
  </w:endnote>
  <w:endnote w:type="continuationSeparator" w:id="0">
    <w:p w:rsidR="003E3043" w:rsidRDefault="003E3043" w:rsidP="003E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74" w:rsidRDefault="00337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74" w:rsidRDefault="00337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74" w:rsidRDefault="00337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43" w:rsidRDefault="003E3043" w:rsidP="003E3043">
      <w:r>
        <w:separator/>
      </w:r>
    </w:p>
  </w:footnote>
  <w:footnote w:type="continuationSeparator" w:id="0">
    <w:p w:rsidR="003E3043" w:rsidRDefault="003E3043" w:rsidP="003E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74" w:rsidRDefault="00337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74" w:rsidRDefault="00337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74" w:rsidRDefault="00337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E2418"/>
    <w:multiLevelType w:val="hybridMultilevel"/>
    <w:tmpl w:val="D3249684"/>
    <w:lvl w:ilvl="0" w:tplc="2C06342E">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E70"/>
    <w:rsid w:val="000347BA"/>
    <w:rsid w:val="000E1227"/>
    <w:rsid w:val="0021749D"/>
    <w:rsid w:val="00313A17"/>
    <w:rsid w:val="00337374"/>
    <w:rsid w:val="00373CFC"/>
    <w:rsid w:val="00374E70"/>
    <w:rsid w:val="003E3043"/>
    <w:rsid w:val="00541C6C"/>
    <w:rsid w:val="00AD548A"/>
    <w:rsid w:val="00B507F9"/>
    <w:rsid w:val="00F7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239F"/>
  <w15:docId w15:val="{63FA5CEE-B98E-4697-A960-B290F1CC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43"/>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70"/>
    <w:rPr>
      <w:rFonts w:ascii="Tahoma" w:hAnsi="Tahoma" w:cs="Tahoma"/>
      <w:sz w:val="16"/>
      <w:szCs w:val="16"/>
    </w:rPr>
  </w:style>
  <w:style w:type="character" w:customStyle="1" w:styleId="BalloonTextChar">
    <w:name w:val="Balloon Text Char"/>
    <w:basedOn w:val="DefaultParagraphFont"/>
    <w:link w:val="BalloonText"/>
    <w:uiPriority w:val="99"/>
    <w:semiHidden/>
    <w:rsid w:val="00374E70"/>
    <w:rPr>
      <w:rFonts w:ascii="Tahoma" w:hAnsi="Tahoma" w:cs="Tahoma"/>
      <w:sz w:val="16"/>
      <w:szCs w:val="16"/>
    </w:rPr>
  </w:style>
  <w:style w:type="paragraph" w:styleId="ListParagraph">
    <w:name w:val="List Paragraph"/>
    <w:basedOn w:val="Normal"/>
    <w:uiPriority w:val="34"/>
    <w:qFormat/>
    <w:rsid w:val="003E3043"/>
    <w:pPr>
      <w:ind w:left="720"/>
    </w:pPr>
  </w:style>
  <w:style w:type="paragraph" w:styleId="Header">
    <w:name w:val="header"/>
    <w:basedOn w:val="Normal"/>
    <w:link w:val="HeaderChar"/>
    <w:uiPriority w:val="99"/>
    <w:unhideWhenUsed/>
    <w:rsid w:val="003E3043"/>
    <w:pPr>
      <w:tabs>
        <w:tab w:val="center" w:pos="4513"/>
        <w:tab w:val="right" w:pos="9026"/>
      </w:tabs>
    </w:pPr>
  </w:style>
  <w:style w:type="character" w:customStyle="1" w:styleId="HeaderChar">
    <w:name w:val="Header Char"/>
    <w:basedOn w:val="DefaultParagraphFont"/>
    <w:link w:val="Header"/>
    <w:uiPriority w:val="99"/>
    <w:rsid w:val="003E304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3E3043"/>
    <w:pPr>
      <w:tabs>
        <w:tab w:val="center" w:pos="4513"/>
        <w:tab w:val="right" w:pos="9026"/>
      </w:tabs>
    </w:pPr>
  </w:style>
  <w:style w:type="character" w:customStyle="1" w:styleId="FooterChar">
    <w:name w:val="Footer Char"/>
    <w:basedOn w:val="DefaultParagraphFont"/>
    <w:link w:val="Footer"/>
    <w:uiPriority w:val="99"/>
    <w:rsid w:val="003E304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Haydon, Sarah (People)</dc:creator>
  <cp:lastModifiedBy>Haydon, Sarah (People)</cp:lastModifiedBy>
  <cp:revision>2</cp:revision>
  <cp:lastPrinted>2018-12-06T10:42:00Z</cp:lastPrinted>
  <dcterms:created xsi:type="dcterms:W3CDTF">2019-09-20T13:54:00Z</dcterms:created>
  <dcterms:modified xsi:type="dcterms:W3CDTF">2019-09-20T13:54:00Z</dcterms:modified>
</cp:coreProperties>
</file>