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3043" w:rsidRPr="005F1644" w:rsidRDefault="003E3043" w:rsidP="003E3043">
      <w:pPr>
        <w:spacing w:before="100" w:beforeAutospacing="1" w:after="100" w:afterAutospacing="1"/>
        <w:jc w:val="center"/>
        <w:rPr>
          <w:rFonts w:ascii="Arial" w:hAnsi="Arial" w:cs="Arial"/>
          <w:b/>
        </w:rPr>
      </w:pPr>
      <w:bookmarkStart w:id="0" w:name="_GoBack"/>
      <w:bookmarkEnd w:id="0"/>
      <w:r w:rsidRPr="004D5186">
        <w:rPr>
          <w:rFonts w:ascii="Arial" w:hAnsi="Arial" w:cs="Arial"/>
          <w:b/>
          <w:sz w:val="32"/>
          <w:szCs w:val="32"/>
        </w:rPr>
        <w:t>2</w:t>
      </w:r>
      <w:r>
        <w:rPr>
          <w:rFonts w:ascii="Arial" w:hAnsi="Arial" w:cs="Arial"/>
          <w:b/>
        </w:rPr>
        <w:t>.</w:t>
      </w:r>
    </w:p>
    <w:tbl>
      <w:tblPr>
        <w:tblW w:w="1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10369"/>
      </w:tblGrid>
      <w:tr w:rsidR="003E3043" w:rsidRPr="003E3043" w:rsidTr="003E3043">
        <w:trPr>
          <w:trHeight w:val="553"/>
        </w:trPr>
        <w:tc>
          <w:tcPr>
            <w:tcW w:w="3857"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Site</w:t>
            </w:r>
            <w:r w:rsidRPr="003E3043">
              <w:rPr>
                <w:rFonts w:ascii="Arial" w:hAnsi="Arial" w:cs="Arial"/>
                <w:sz w:val="32"/>
                <w:szCs w:val="32"/>
              </w:rPr>
              <w:br/>
            </w:r>
          </w:p>
        </w:tc>
        <w:tc>
          <w:tcPr>
            <w:tcW w:w="10369"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b/>
                <w:sz w:val="32"/>
                <w:szCs w:val="32"/>
              </w:rPr>
              <w:t>The Clough</w:t>
            </w:r>
          </w:p>
        </w:tc>
      </w:tr>
      <w:tr w:rsidR="003E3043" w:rsidRPr="003E3043" w:rsidTr="003E3043">
        <w:trPr>
          <w:trHeight w:val="830"/>
        </w:trPr>
        <w:tc>
          <w:tcPr>
            <w:tcW w:w="3857"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Grid Reference / Post Code</w:t>
            </w:r>
            <w:r w:rsidRPr="003E3043">
              <w:rPr>
                <w:rFonts w:ascii="Arial" w:hAnsi="Arial" w:cs="Arial"/>
                <w:sz w:val="32"/>
                <w:szCs w:val="32"/>
              </w:rPr>
              <w:br/>
            </w:r>
          </w:p>
        </w:tc>
        <w:tc>
          <w:tcPr>
            <w:tcW w:w="10369"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SJ896, 598; SJ891, 588 &amp; SJ890, 597</w:t>
            </w:r>
          </w:p>
        </w:tc>
      </w:tr>
      <w:tr w:rsidR="003E3043" w:rsidRPr="003E3043" w:rsidTr="003E3043">
        <w:trPr>
          <w:trHeight w:val="2515"/>
        </w:trPr>
        <w:tc>
          <w:tcPr>
            <w:tcW w:w="3857"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Brief Description</w:t>
            </w:r>
            <w:r w:rsidRPr="003E3043">
              <w:rPr>
                <w:rFonts w:ascii="Arial" w:hAnsi="Arial" w:cs="Arial"/>
                <w:sz w:val="32"/>
                <w:szCs w:val="32"/>
              </w:rPr>
              <w:br/>
            </w:r>
          </w:p>
        </w:tc>
        <w:tc>
          <w:tcPr>
            <w:tcW w:w="10369"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This is a local beauty spot, used by residents for short family walks and walking dogs.  Although this land having TPO’s placed on it, back in the 1970’s a large number were cut down and Japanese Knotweed took over.  This has now been rectified by the current owners with the planting of over 300 native trees in 2001 (once the knotweed had been eradicated).  It is vital that now this place has been reclaimed for nature, it is retained for responsible recreational use by the local community.</w:t>
            </w:r>
          </w:p>
        </w:tc>
      </w:tr>
    </w:tbl>
    <w:p w:rsidR="003E3043" w:rsidRDefault="003E3043" w:rsidP="003E3043">
      <w:pPr>
        <w:spacing w:before="100" w:beforeAutospacing="1" w:after="100" w:afterAutospacing="1"/>
        <w:jc w:val="center"/>
        <w:rPr>
          <w:rFonts w:ascii="Arial" w:hAnsi="Arial"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10"/>
        <w:gridCol w:w="567"/>
        <w:gridCol w:w="10206"/>
      </w:tblGrid>
      <w:tr w:rsidR="003E3043" w:rsidRPr="003E3043" w:rsidTr="003E3043">
        <w:trPr>
          <w:tblHeader/>
        </w:trPr>
        <w:tc>
          <w:tcPr>
            <w:tcW w:w="3510"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Criteria.</w:t>
            </w:r>
          </w:p>
        </w:tc>
        <w:tc>
          <w:tcPr>
            <w:tcW w:w="567"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p>
        </w:tc>
        <w:tc>
          <w:tcPr>
            <w:tcW w:w="10206"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p>
        </w:tc>
      </w:tr>
      <w:tr w:rsidR="003E3043" w:rsidRPr="003E3043" w:rsidTr="003E3043">
        <w:tc>
          <w:tcPr>
            <w:tcW w:w="3510"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Location</w:t>
            </w:r>
            <w:r w:rsidRPr="003E3043">
              <w:rPr>
                <w:rFonts w:ascii="Arial" w:hAnsi="Arial" w:cs="Arial"/>
                <w:sz w:val="32"/>
                <w:szCs w:val="32"/>
              </w:rPr>
              <w:br/>
            </w:r>
            <w:r w:rsidRPr="003E3043">
              <w:rPr>
                <w:rFonts w:ascii="Arial" w:hAnsi="Arial" w:cs="Arial"/>
                <w:i/>
                <w:iCs/>
                <w:sz w:val="32"/>
                <w:szCs w:val="32"/>
                <w:lang w:val="en-US"/>
              </w:rPr>
              <w:t>In reasonably close proximity to the community it serves</w:t>
            </w:r>
          </w:p>
        </w:tc>
        <w:tc>
          <w:tcPr>
            <w:tcW w:w="567"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p>
          <w:p w:rsidR="003E3043" w:rsidRPr="003E3043" w:rsidRDefault="003E3043" w:rsidP="003E3043">
            <w:pPr>
              <w:spacing w:before="100" w:beforeAutospacing="1" w:after="100" w:afterAutospacing="1"/>
              <w:jc w:val="center"/>
              <w:rPr>
                <w:rFonts w:ascii="Arial" w:hAnsi="Arial" w:cs="Arial"/>
                <w:b/>
                <w:sz w:val="32"/>
                <w:szCs w:val="32"/>
              </w:rPr>
            </w:pPr>
            <w:r w:rsidRPr="003E3043">
              <w:rPr>
                <w:rFonts w:ascii="Arial" w:hAnsi="Arial" w:cs="Arial"/>
                <w:b/>
                <w:sz w:val="32"/>
                <w:szCs w:val="32"/>
              </w:rPr>
              <w:t>√</w:t>
            </w:r>
          </w:p>
        </w:tc>
        <w:tc>
          <w:tcPr>
            <w:tcW w:w="10206"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iCs/>
                <w:sz w:val="32"/>
                <w:szCs w:val="32"/>
                <w:lang w:val="en-US"/>
              </w:rPr>
              <w:t>Within walking distance of the main road and accessed via Hurst Road (a public footpath which starts next to the Talbot pub).  Many people park in the pub carpark, take a walk through the Clough and relax in the Talbot afterwards.</w:t>
            </w:r>
          </w:p>
        </w:tc>
      </w:tr>
      <w:tr w:rsidR="003E3043" w:rsidRPr="003E3043" w:rsidTr="003E3043">
        <w:tc>
          <w:tcPr>
            <w:tcW w:w="3510"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Local Significance</w:t>
            </w:r>
            <w:r w:rsidRPr="003E3043">
              <w:rPr>
                <w:rFonts w:ascii="Arial" w:hAnsi="Arial" w:cs="Arial"/>
                <w:sz w:val="32"/>
                <w:szCs w:val="32"/>
              </w:rPr>
              <w:br/>
            </w:r>
            <w:r w:rsidRPr="003E3043">
              <w:rPr>
                <w:rFonts w:ascii="Arial" w:hAnsi="Arial" w:cs="Arial"/>
                <w:i/>
                <w:iCs/>
                <w:sz w:val="32"/>
                <w:szCs w:val="32"/>
                <w:lang w:val="en-US"/>
              </w:rPr>
              <w:t>Demonstrably special to a local community and holds a particular local significance, for example because of its beauty, historic significance, recreational value (including as a playing field), tranquility or richness of its wildlife.</w:t>
            </w:r>
          </w:p>
        </w:tc>
        <w:tc>
          <w:tcPr>
            <w:tcW w:w="567"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p>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b/>
                <w:sz w:val="32"/>
                <w:szCs w:val="32"/>
              </w:rPr>
              <w:t>√</w:t>
            </w:r>
          </w:p>
        </w:tc>
        <w:tc>
          <w:tcPr>
            <w:tcW w:w="10206" w:type="dxa"/>
            <w:shd w:val="clear" w:color="auto" w:fill="auto"/>
          </w:tcPr>
          <w:p w:rsidR="003E3043" w:rsidRPr="003E3043" w:rsidRDefault="003E3043" w:rsidP="003E3043">
            <w:pPr>
              <w:autoSpaceDE w:val="0"/>
              <w:autoSpaceDN w:val="0"/>
              <w:adjustRightInd w:val="0"/>
              <w:jc w:val="center"/>
              <w:rPr>
                <w:rFonts w:ascii="Arial" w:hAnsi="Arial" w:cs="Arial"/>
                <w:iCs/>
                <w:sz w:val="32"/>
                <w:szCs w:val="32"/>
                <w:lang w:val="en-US"/>
              </w:rPr>
            </w:pPr>
            <w:r w:rsidRPr="003E3043">
              <w:rPr>
                <w:rFonts w:ascii="Arial" w:hAnsi="Arial" w:cs="Arial"/>
                <w:iCs/>
                <w:sz w:val="32"/>
                <w:szCs w:val="32"/>
                <w:lang w:val="en-US"/>
              </w:rPr>
              <w:t>The Clough is an old route from Biddulph Old Hall to Biddulph Grange and was used by the Batemans and Heaths in Victorian times and more recently.  It is known that there was an old Batemen bridge (a very particular style) in the valley crossing the stream (although the exact position has not yet been determined).  There is also an old bridge (</w:t>
            </w:r>
            <w:r w:rsidRPr="003E3043">
              <w:rPr>
                <w:rFonts w:ascii="Arial" w:hAnsi="Arial" w:cs="Arial"/>
                <w:bCs/>
                <w:sz w:val="32"/>
                <w:szCs w:val="32"/>
                <w:lang w:eastAsia="en-GB"/>
              </w:rPr>
              <w:t xml:space="preserve">PRN Number </w:t>
            </w:r>
            <w:r w:rsidRPr="003E3043">
              <w:rPr>
                <w:rFonts w:ascii="Arial" w:hAnsi="Arial" w:cs="Arial"/>
                <w:sz w:val="32"/>
                <w:szCs w:val="32"/>
                <w:lang w:eastAsia="en-GB"/>
              </w:rPr>
              <w:t xml:space="preserve">53988 ) </w:t>
            </w:r>
            <w:r w:rsidRPr="003E3043">
              <w:rPr>
                <w:rFonts w:ascii="Arial" w:hAnsi="Arial" w:cs="Arial"/>
                <w:iCs/>
                <w:sz w:val="32"/>
                <w:szCs w:val="32"/>
                <w:lang w:val="en-US"/>
              </w:rPr>
              <w:t xml:space="preserve">still in existence which the current footpath crosses.  The footpath currently exits onto Fold Lane, however it used to continue under the road and on through land across the road to Biddulph Grange.  </w:t>
            </w:r>
            <w:r w:rsidRPr="003E3043">
              <w:rPr>
                <w:rFonts w:ascii="Arial" w:hAnsi="Arial" w:cs="Arial"/>
                <w:sz w:val="32"/>
                <w:szCs w:val="32"/>
                <w:lang w:eastAsia="en-GB"/>
              </w:rPr>
              <w:t>This tunnel under Fold Lane, formed part of the private walk linking Bidduplh Old Hall to the Grange (</w:t>
            </w:r>
            <w:r w:rsidRPr="003E3043">
              <w:rPr>
                <w:rFonts w:ascii="Arial" w:hAnsi="Arial" w:cs="Arial"/>
                <w:bCs/>
                <w:sz w:val="32"/>
                <w:szCs w:val="32"/>
                <w:lang w:eastAsia="en-GB"/>
              </w:rPr>
              <w:t xml:space="preserve">PRN Number </w:t>
            </w:r>
            <w:r w:rsidRPr="003E3043">
              <w:rPr>
                <w:rFonts w:ascii="Arial" w:hAnsi="Arial" w:cs="Arial"/>
                <w:sz w:val="32"/>
                <w:szCs w:val="32"/>
                <w:lang w:eastAsia="en-GB"/>
              </w:rPr>
              <w:t xml:space="preserve">53987).  </w:t>
            </w:r>
            <w:r w:rsidRPr="003E3043">
              <w:rPr>
                <w:rFonts w:ascii="Arial" w:hAnsi="Arial" w:cs="Arial"/>
                <w:iCs/>
                <w:sz w:val="32"/>
                <w:szCs w:val="32"/>
                <w:lang w:val="en-US"/>
              </w:rPr>
              <w:t>The tunnel was filled in during the early 2,000s when the roadway collapsed.  This route is regularly used by walking groups as part of a longer hike, including Biddulph Ramblers.</w:t>
            </w:r>
          </w:p>
          <w:p w:rsidR="003E3043" w:rsidRPr="003E3043" w:rsidRDefault="003E3043" w:rsidP="003E3043">
            <w:pPr>
              <w:autoSpaceDE w:val="0"/>
              <w:autoSpaceDN w:val="0"/>
              <w:adjustRightInd w:val="0"/>
              <w:jc w:val="center"/>
              <w:rPr>
                <w:rFonts w:ascii="Arial" w:hAnsi="Arial" w:cs="Arial"/>
                <w:sz w:val="32"/>
                <w:szCs w:val="32"/>
              </w:rPr>
            </w:pPr>
            <w:r w:rsidRPr="003E3043">
              <w:rPr>
                <w:rFonts w:ascii="Arial" w:hAnsi="Arial" w:cs="Arial"/>
                <w:iCs/>
                <w:sz w:val="32"/>
                <w:szCs w:val="32"/>
                <w:lang w:val="en-US"/>
              </w:rPr>
              <w:t>The first part of the Clough (nearest to Grange Road was t</w:t>
            </w:r>
            <w:r w:rsidRPr="003E3043">
              <w:rPr>
                <w:rFonts w:ascii="Arial" w:hAnsi="Arial" w:cs="Arial"/>
                <w:sz w:val="32"/>
                <w:szCs w:val="32"/>
                <w:lang w:eastAsia="en-GB"/>
              </w:rPr>
              <w:t>he site of Biddulph Mill, shown on William Yates's map of 1775, and identified on the first Edition Ordnance Survey map of 1888 as a corn mill.  The mill is named as Biddulph Mill and identified as a corn mill on the 1st Edition Ordnance Survey map of 1888.  The site of a mill is marked in this location on William Yates's map of 1775.  It is believed that the corn mill pre-dated the building of Biddulph Old Hall in the 16th century. The mill was still grinding corn using water power in 1912, but it had probably ceased to do so by 1920. The derelict mill was demolished in the late 1940s.</w:t>
            </w:r>
          </w:p>
        </w:tc>
      </w:tr>
      <w:tr w:rsidR="003E3043" w:rsidRPr="003E3043" w:rsidTr="003E3043">
        <w:tc>
          <w:tcPr>
            <w:tcW w:w="3510"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Size, Scale</w:t>
            </w:r>
            <w:r w:rsidRPr="003E3043">
              <w:rPr>
                <w:rFonts w:ascii="Arial" w:hAnsi="Arial" w:cs="Arial"/>
                <w:sz w:val="32"/>
                <w:szCs w:val="32"/>
              </w:rPr>
              <w:br/>
            </w:r>
            <w:r w:rsidRPr="003E3043">
              <w:rPr>
                <w:rFonts w:ascii="Arial" w:hAnsi="Arial" w:cs="Arial"/>
                <w:i/>
                <w:iCs/>
                <w:sz w:val="32"/>
                <w:szCs w:val="32"/>
                <w:lang w:val="en-US"/>
              </w:rPr>
              <w:t>Local in character and is not an extensive tract of land</w:t>
            </w:r>
            <w:r w:rsidRPr="003E3043">
              <w:rPr>
                <w:rFonts w:ascii="Arial" w:hAnsi="Arial" w:cs="Arial"/>
                <w:iCs/>
                <w:sz w:val="32"/>
                <w:szCs w:val="32"/>
                <w:lang w:val="en-US"/>
              </w:rPr>
              <w:t>.</w:t>
            </w:r>
          </w:p>
        </w:tc>
        <w:tc>
          <w:tcPr>
            <w:tcW w:w="567"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p>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b/>
                <w:sz w:val="32"/>
                <w:szCs w:val="32"/>
              </w:rPr>
              <w:t>√</w:t>
            </w:r>
          </w:p>
        </w:tc>
        <w:tc>
          <w:tcPr>
            <w:tcW w:w="10206"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It is locally known as The Clough and contains the remains of 2 man-made dam constructions which were connected with the powering of mill workings.  There are still outcrops of coal on the banks which were locally collected for domestic use.  Despite these the valley provides an ideal habitat for flora and fauna  -  in springtime the ground is covered in bluebells, daffodils, red campion, wood sorrel and wood anemone.  It is also inhabited with rabbits, foxes, various owls, dippers, buzzards, most tits and finches, and bats.  In addition there are some interesting tree species, planted by the Batemans including Scotts Pine, Hornbeam and evergreen Oak.  This is not an extensive tract of land, measuring no more than ½ mile in its total length.</w:t>
            </w:r>
          </w:p>
        </w:tc>
      </w:tr>
      <w:tr w:rsidR="003E3043" w:rsidRPr="003E3043" w:rsidTr="003E3043">
        <w:tc>
          <w:tcPr>
            <w:tcW w:w="3510"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Recommendation</w:t>
            </w:r>
          </w:p>
        </w:tc>
        <w:tc>
          <w:tcPr>
            <w:tcW w:w="567"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b/>
                <w:sz w:val="32"/>
                <w:szCs w:val="32"/>
              </w:rPr>
              <w:t>√</w:t>
            </w:r>
          </w:p>
        </w:tc>
        <w:tc>
          <w:tcPr>
            <w:tcW w:w="10206" w:type="dxa"/>
            <w:shd w:val="clear" w:color="auto" w:fill="auto"/>
          </w:tcPr>
          <w:p w:rsidR="003E3043" w:rsidRPr="003E3043" w:rsidRDefault="003E3043" w:rsidP="003E3043">
            <w:pPr>
              <w:spacing w:before="100" w:beforeAutospacing="1" w:after="100" w:afterAutospacing="1"/>
              <w:jc w:val="center"/>
              <w:rPr>
                <w:rFonts w:ascii="Arial" w:hAnsi="Arial" w:cs="Arial"/>
                <w:sz w:val="32"/>
                <w:szCs w:val="32"/>
              </w:rPr>
            </w:pPr>
            <w:r w:rsidRPr="003E3043">
              <w:rPr>
                <w:rFonts w:ascii="Arial" w:hAnsi="Arial" w:cs="Arial"/>
                <w:sz w:val="32"/>
                <w:szCs w:val="32"/>
              </w:rPr>
              <w:t>Suitable for Local Green Space Designation</w:t>
            </w:r>
          </w:p>
        </w:tc>
      </w:tr>
    </w:tbl>
    <w:p w:rsidR="003E3043" w:rsidRDefault="003E3043" w:rsidP="003E3043">
      <w:pPr>
        <w:pStyle w:val="ListParagraph"/>
        <w:ind w:left="0"/>
        <w:jc w:val="center"/>
        <w:rPr>
          <w:rFonts w:ascii="Arial" w:hAnsi="Arial" w:cs="Arial"/>
        </w:rPr>
      </w:pPr>
    </w:p>
    <w:p w:rsidR="003E3043" w:rsidRDefault="003E3043" w:rsidP="003E3043">
      <w:pPr>
        <w:pStyle w:val="ListParagraph"/>
        <w:ind w:left="0"/>
        <w:jc w:val="center"/>
        <w:rPr>
          <w:rFonts w:ascii="Arial" w:hAnsi="Arial" w:cs="Arial"/>
        </w:rPr>
      </w:pPr>
      <w:r>
        <w:rPr>
          <w:rFonts w:ascii="Arial" w:hAnsi="Arial" w:cs="Arial"/>
        </w:rPr>
        <w:lastRenderedPageBreak/>
        <w:t>Pictures:</w:t>
      </w:r>
    </w:p>
    <w:tbl>
      <w:tblPr>
        <w:tblW w:w="9428" w:type="dxa"/>
        <w:tblLook w:val="04A0" w:firstRow="1" w:lastRow="0" w:firstColumn="1" w:lastColumn="0" w:noHBand="0" w:noVBand="1"/>
      </w:tblPr>
      <w:tblGrid>
        <w:gridCol w:w="6636"/>
        <w:gridCol w:w="6306"/>
      </w:tblGrid>
      <w:tr w:rsidR="003E3043" w:rsidRPr="00851204" w:rsidTr="00830F1A">
        <w:tc>
          <w:tcPr>
            <w:tcW w:w="4715" w:type="dxa"/>
            <w:shd w:val="clear" w:color="auto" w:fill="auto"/>
          </w:tcPr>
          <w:p w:rsidR="003E3043" w:rsidRPr="00851204" w:rsidRDefault="003E3043" w:rsidP="003E3043">
            <w:pPr>
              <w:spacing w:before="100" w:beforeAutospacing="1" w:after="100" w:afterAutospacing="1"/>
              <w:jc w:val="center"/>
              <w:rPr>
                <w:rFonts w:ascii="Arial" w:hAnsi="Arial" w:cs="Arial"/>
                <w:b/>
                <w:noProof/>
                <w:lang w:eastAsia="en-GB"/>
              </w:rPr>
            </w:pPr>
            <w:r>
              <w:rPr>
                <w:rFonts w:ascii="Arial" w:hAnsi="Arial" w:cs="Arial"/>
                <w:b/>
                <w:noProof/>
                <w:lang w:eastAsia="en-GB"/>
              </w:rPr>
              <w:drawing>
                <wp:inline distT="0" distB="0" distL="0" distR="0" wp14:anchorId="3D07FD60" wp14:editId="76900E55">
                  <wp:extent cx="4074090" cy="3058510"/>
                  <wp:effectExtent l="0" t="0" r="3175" b="889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0623" cy="3063415"/>
                          </a:xfrm>
                          <a:prstGeom prst="rect">
                            <a:avLst/>
                          </a:prstGeom>
                          <a:noFill/>
                          <a:ln>
                            <a:noFill/>
                          </a:ln>
                        </pic:spPr>
                      </pic:pic>
                    </a:graphicData>
                  </a:graphic>
                </wp:inline>
              </w:drawing>
            </w:r>
          </w:p>
          <w:p w:rsidR="003E3043" w:rsidRPr="00851204" w:rsidRDefault="003E3043" w:rsidP="003E3043">
            <w:pPr>
              <w:spacing w:before="100" w:beforeAutospacing="1" w:after="100" w:afterAutospacing="1"/>
              <w:jc w:val="center"/>
              <w:rPr>
                <w:rFonts w:ascii="Arial" w:hAnsi="Arial" w:cs="Arial"/>
                <w:b/>
              </w:rPr>
            </w:pPr>
            <w:r w:rsidRPr="00851204">
              <w:rPr>
                <w:rFonts w:ascii="Arial" w:hAnsi="Arial" w:cs="Arial"/>
                <w:b/>
                <w:noProof/>
                <w:lang w:eastAsia="en-GB"/>
              </w:rPr>
              <w:t>The existing bridge with footpath across the top</w:t>
            </w:r>
          </w:p>
        </w:tc>
        <w:tc>
          <w:tcPr>
            <w:tcW w:w="4713" w:type="dxa"/>
            <w:shd w:val="clear" w:color="auto" w:fill="auto"/>
          </w:tcPr>
          <w:p w:rsidR="003E3043" w:rsidRPr="00851204" w:rsidRDefault="003E3043" w:rsidP="003E3043">
            <w:pPr>
              <w:spacing w:before="100" w:beforeAutospacing="1" w:after="100" w:afterAutospacing="1"/>
              <w:jc w:val="center"/>
              <w:rPr>
                <w:rFonts w:ascii="Arial" w:hAnsi="Arial" w:cs="Arial"/>
                <w:b/>
                <w:noProof/>
                <w:lang w:eastAsia="en-GB"/>
              </w:rPr>
            </w:pPr>
            <w:r>
              <w:rPr>
                <w:rFonts w:ascii="Arial" w:hAnsi="Arial" w:cs="Arial"/>
                <w:b/>
                <w:noProof/>
                <w:lang w:eastAsia="en-GB"/>
              </w:rPr>
              <w:drawing>
                <wp:inline distT="0" distB="0" distL="0" distR="0" wp14:anchorId="0F82D781" wp14:editId="299236D2">
                  <wp:extent cx="3862552" cy="2890263"/>
                  <wp:effectExtent l="0" t="0" r="5080" b="5715"/>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8746" cy="2894898"/>
                          </a:xfrm>
                          <a:prstGeom prst="rect">
                            <a:avLst/>
                          </a:prstGeom>
                          <a:noFill/>
                          <a:ln>
                            <a:noFill/>
                          </a:ln>
                        </pic:spPr>
                      </pic:pic>
                    </a:graphicData>
                  </a:graphic>
                </wp:inline>
              </w:drawing>
            </w:r>
          </w:p>
          <w:p w:rsidR="003E3043" w:rsidRPr="00851204" w:rsidRDefault="003E3043" w:rsidP="003E3043">
            <w:pPr>
              <w:spacing w:before="100" w:beforeAutospacing="1" w:after="100" w:afterAutospacing="1"/>
              <w:jc w:val="center"/>
              <w:rPr>
                <w:rFonts w:ascii="Arial" w:hAnsi="Arial" w:cs="Arial"/>
                <w:b/>
              </w:rPr>
            </w:pPr>
            <w:r w:rsidRPr="00851204">
              <w:rPr>
                <w:rFonts w:ascii="Arial" w:hAnsi="Arial" w:cs="Arial"/>
                <w:b/>
                <w:noProof/>
                <w:lang w:eastAsia="en-GB"/>
              </w:rPr>
              <w:t>A fox in The Clough</w:t>
            </w:r>
          </w:p>
        </w:tc>
      </w:tr>
      <w:tr w:rsidR="003E3043" w:rsidRPr="00851204" w:rsidTr="00830F1A">
        <w:tc>
          <w:tcPr>
            <w:tcW w:w="4715" w:type="dxa"/>
            <w:shd w:val="clear" w:color="auto" w:fill="auto"/>
          </w:tcPr>
          <w:p w:rsidR="003E3043" w:rsidRDefault="003E3043" w:rsidP="003E3043">
            <w:pPr>
              <w:spacing w:before="100" w:beforeAutospacing="1" w:after="100" w:afterAutospacing="1"/>
              <w:jc w:val="center"/>
              <w:rPr>
                <w:rFonts w:ascii="Arial" w:hAnsi="Arial" w:cs="Arial"/>
                <w:b/>
                <w:noProof/>
                <w:lang w:eastAsia="en-GB"/>
              </w:rPr>
            </w:pPr>
          </w:p>
          <w:p w:rsidR="003E3043" w:rsidRDefault="003E3043" w:rsidP="003E3043">
            <w:pPr>
              <w:spacing w:before="100" w:beforeAutospacing="1" w:after="100" w:afterAutospacing="1"/>
              <w:jc w:val="center"/>
              <w:rPr>
                <w:rFonts w:ascii="Arial" w:hAnsi="Arial" w:cs="Arial"/>
                <w:b/>
                <w:noProof/>
                <w:lang w:eastAsia="en-GB"/>
              </w:rPr>
            </w:pPr>
          </w:p>
          <w:p w:rsidR="003E3043" w:rsidRPr="00851204" w:rsidRDefault="003E3043" w:rsidP="003E3043">
            <w:pPr>
              <w:spacing w:before="100" w:beforeAutospacing="1" w:after="100" w:afterAutospacing="1"/>
              <w:jc w:val="center"/>
              <w:rPr>
                <w:rFonts w:ascii="Arial" w:hAnsi="Arial" w:cs="Arial"/>
                <w:b/>
                <w:noProof/>
                <w:lang w:eastAsia="en-GB"/>
              </w:rPr>
            </w:pPr>
            <w:r>
              <w:rPr>
                <w:rFonts w:ascii="Arial" w:hAnsi="Arial" w:cs="Arial"/>
                <w:b/>
                <w:noProof/>
                <w:lang w:eastAsia="en-GB"/>
              </w:rPr>
              <w:drawing>
                <wp:inline distT="0" distB="0" distL="0" distR="0" wp14:anchorId="694DF0A6" wp14:editId="6E1612C1">
                  <wp:extent cx="3444077" cy="2585545"/>
                  <wp:effectExtent l="0" t="0" r="4445" b="5715"/>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9600" cy="2589691"/>
                          </a:xfrm>
                          <a:prstGeom prst="rect">
                            <a:avLst/>
                          </a:prstGeom>
                          <a:noFill/>
                          <a:ln>
                            <a:noFill/>
                          </a:ln>
                        </pic:spPr>
                      </pic:pic>
                    </a:graphicData>
                  </a:graphic>
                </wp:inline>
              </w:drawing>
            </w:r>
          </w:p>
        </w:tc>
        <w:tc>
          <w:tcPr>
            <w:tcW w:w="4713" w:type="dxa"/>
            <w:shd w:val="clear" w:color="auto" w:fill="auto"/>
          </w:tcPr>
          <w:p w:rsidR="003E3043" w:rsidRPr="00851204" w:rsidRDefault="003E3043" w:rsidP="003E3043">
            <w:pPr>
              <w:spacing w:before="100" w:beforeAutospacing="1" w:after="100" w:afterAutospacing="1"/>
              <w:jc w:val="center"/>
              <w:rPr>
                <w:rFonts w:ascii="Arial" w:hAnsi="Arial" w:cs="Arial"/>
                <w:b/>
              </w:rPr>
            </w:pPr>
          </w:p>
          <w:p w:rsidR="003E3043" w:rsidRPr="00851204" w:rsidRDefault="003E3043" w:rsidP="003E3043">
            <w:pPr>
              <w:spacing w:before="100" w:beforeAutospacing="1" w:after="100" w:afterAutospacing="1"/>
              <w:jc w:val="center"/>
              <w:rPr>
                <w:rFonts w:ascii="Arial" w:hAnsi="Arial" w:cs="Arial"/>
                <w:b/>
              </w:rPr>
            </w:pPr>
          </w:p>
          <w:p w:rsidR="003E3043" w:rsidRPr="00851204" w:rsidRDefault="003E3043" w:rsidP="003E3043">
            <w:pPr>
              <w:spacing w:before="100" w:beforeAutospacing="1" w:after="100" w:afterAutospacing="1"/>
              <w:jc w:val="center"/>
              <w:rPr>
                <w:rFonts w:ascii="Arial" w:hAnsi="Arial" w:cs="Arial"/>
                <w:b/>
              </w:rPr>
            </w:pPr>
          </w:p>
          <w:p w:rsidR="003E3043" w:rsidRPr="00851204" w:rsidRDefault="003E3043" w:rsidP="003E3043">
            <w:pPr>
              <w:spacing w:before="100" w:beforeAutospacing="1" w:after="100" w:afterAutospacing="1"/>
              <w:jc w:val="center"/>
              <w:rPr>
                <w:rFonts w:ascii="Arial" w:hAnsi="Arial" w:cs="Arial"/>
                <w:b/>
              </w:rPr>
            </w:pPr>
          </w:p>
          <w:p w:rsidR="003E3043" w:rsidRPr="00851204" w:rsidRDefault="003E3043" w:rsidP="003E3043">
            <w:pPr>
              <w:spacing w:before="100" w:beforeAutospacing="1" w:after="100" w:afterAutospacing="1"/>
              <w:rPr>
                <w:rFonts w:ascii="Arial" w:hAnsi="Arial" w:cs="Arial"/>
                <w:b/>
              </w:rPr>
            </w:pPr>
            <w:r w:rsidRPr="00851204">
              <w:rPr>
                <w:rFonts w:ascii="Arial" w:hAnsi="Arial" w:cs="Arial"/>
                <w:b/>
              </w:rPr>
              <w:t>Blue bells in the spring</w:t>
            </w:r>
          </w:p>
        </w:tc>
      </w:tr>
    </w:tbl>
    <w:p w:rsidR="003E3043" w:rsidRDefault="003E3043" w:rsidP="003E3043">
      <w:pPr>
        <w:spacing w:before="100" w:beforeAutospacing="1" w:after="100" w:afterAutospacing="1"/>
        <w:jc w:val="center"/>
        <w:rPr>
          <w:rFonts w:ascii="Arial" w:hAnsi="Arial" w:cs="Arial"/>
        </w:rPr>
      </w:pPr>
      <w:r w:rsidRPr="00191009">
        <w:rPr>
          <w:rFonts w:ascii="Arial" w:hAnsi="Arial" w:cs="Arial"/>
        </w:rPr>
        <w:t>Map</w:t>
      </w:r>
      <w:r>
        <w:rPr>
          <w:rFonts w:ascii="Arial" w:hAnsi="Arial" w:cs="Arial"/>
        </w:rPr>
        <w:t>:</w:t>
      </w:r>
    </w:p>
    <w:p w:rsidR="003E3043" w:rsidRPr="00191009" w:rsidRDefault="003E3043" w:rsidP="003E3043">
      <w:pPr>
        <w:spacing w:before="100" w:beforeAutospacing="1" w:after="100" w:afterAutospacing="1"/>
        <w:jc w:val="center"/>
        <w:rPr>
          <w:rFonts w:ascii="Arial" w:hAnsi="Arial" w:cs="Arial"/>
        </w:rPr>
      </w:pPr>
      <w:r>
        <w:rPr>
          <w:rFonts w:ascii="Arial" w:hAnsi="Arial" w:cs="Arial"/>
          <w:noProof/>
          <w:lang w:eastAsia="en-GB"/>
        </w:rPr>
        <w:drawing>
          <wp:inline distT="0" distB="0" distL="0" distR="0" wp14:anchorId="5FDA5904" wp14:editId="5695E5AA">
            <wp:extent cx="7245616" cy="5076496"/>
            <wp:effectExtent l="0" t="0" r="0" b="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l="14091" t="17239" r="29210" b="12199"/>
                    <a:stretch>
                      <a:fillRect/>
                    </a:stretch>
                  </pic:blipFill>
                  <pic:spPr bwMode="auto">
                    <a:xfrm>
                      <a:off x="0" y="0"/>
                      <a:ext cx="7255497" cy="5083419"/>
                    </a:xfrm>
                    <a:prstGeom prst="rect">
                      <a:avLst/>
                    </a:prstGeom>
                    <a:noFill/>
                    <a:ln>
                      <a:noFill/>
                    </a:ln>
                  </pic:spPr>
                </pic:pic>
              </a:graphicData>
            </a:graphic>
          </wp:inline>
        </w:drawing>
      </w:r>
    </w:p>
    <w:p w:rsidR="003E3043" w:rsidRDefault="003E3043" w:rsidP="003E3043">
      <w:pPr>
        <w:spacing w:before="100" w:beforeAutospacing="1" w:after="100" w:afterAutospacing="1"/>
        <w:jc w:val="center"/>
        <w:rPr>
          <w:rFonts w:ascii="Arial" w:hAnsi="Arial" w:cs="Arial"/>
          <w:b/>
        </w:rPr>
      </w:pPr>
    </w:p>
    <w:p w:rsidR="003E3043" w:rsidRDefault="003E3043" w:rsidP="003E3043">
      <w:pPr>
        <w:spacing w:before="100" w:beforeAutospacing="1" w:after="100" w:afterAutospacing="1"/>
        <w:jc w:val="center"/>
        <w:rPr>
          <w:rFonts w:ascii="Arial" w:hAnsi="Arial" w:cs="Arial"/>
          <w:b/>
        </w:rPr>
      </w:pPr>
    </w:p>
    <w:p w:rsidR="003E3043" w:rsidRDefault="003E3043" w:rsidP="003E3043">
      <w:pPr>
        <w:spacing w:before="100" w:beforeAutospacing="1" w:after="100" w:afterAutospacing="1"/>
        <w:jc w:val="right"/>
        <w:rPr>
          <w:rFonts w:ascii="Arial" w:hAnsi="Arial" w:cs="Arial"/>
          <w:b/>
        </w:rPr>
      </w:pPr>
      <w:r>
        <w:rPr>
          <w:rFonts w:ascii="Arial" w:hAnsi="Arial" w:cs="Arial"/>
          <w:b/>
        </w:rPr>
        <w:t>Page 2- The Clough</w:t>
      </w:r>
    </w:p>
    <w:p w:rsidR="00621748" w:rsidRPr="003E3043" w:rsidRDefault="002F20B4" w:rsidP="003E3043">
      <w:pPr>
        <w:jc w:val="center"/>
      </w:pPr>
    </w:p>
    <w:sectPr w:rsidR="00621748" w:rsidRPr="003E3043" w:rsidSect="003E3043">
      <w:pgSz w:w="16839" w:h="23814" w:code="8"/>
      <w:pgMar w:top="1440"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043" w:rsidRDefault="003E3043" w:rsidP="003E3043">
      <w:r>
        <w:separator/>
      </w:r>
    </w:p>
  </w:endnote>
  <w:endnote w:type="continuationSeparator" w:id="0">
    <w:p w:rsidR="003E3043" w:rsidRDefault="003E3043" w:rsidP="003E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043" w:rsidRDefault="003E3043" w:rsidP="003E3043">
      <w:r>
        <w:separator/>
      </w:r>
    </w:p>
  </w:footnote>
  <w:footnote w:type="continuationSeparator" w:id="0">
    <w:p w:rsidR="003E3043" w:rsidRDefault="003E3043" w:rsidP="003E30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E2418"/>
    <w:multiLevelType w:val="hybridMultilevel"/>
    <w:tmpl w:val="D3249684"/>
    <w:lvl w:ilvl="0" w:tplc="2C06342E">
      <w:start w:val="1"/>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E70"/>
    <w:rsid w:val="0021749D"/>
    <w:rsid w:val="002F20B4"/>
    <w:rsid w:val="00373CFC"/>
    <w:rsid w:val="00374E70"/>
    <w:rsid w:val="003E3043"/>
    <w:rsid w:val="004D5186"/>
    <w:rsid w:val="00F71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A671A7-9399-43D0-93C5-AB8E90666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043"/>
    <w:pPr>
      <w:spacing w:after="0" w:line="240" w:lineRule="auto"/>
    </w:pPr>
    <w:rPr>
      <w:rFonts w:ascii="Times New Roman" w:eastAsia="Times New Roman" w:hAnsi="Times New Roman"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E70"/>
    <w:rPr>
      <w:rFonts w:ascii="Tahoma" w:hAnsi="Tahoma" w:cs="Tahoma"/>
      <w:sz w:val="16"/>
      <w:szCs w:val="16"/>
    </w:rPr>
  </w:style>
  <w:style w:type="character" w:customStyle="1" w:styleId="BalloonTextChar">
    <w:name w:val="Balloon Text Char"/>
    <w:basedOn w:val="DefaultParagraphFont"/>
    <w:link w:val="BalloonText"/>
    <w:uiPriority w:val="99"/>
    <w:semiHidden/>
    <w:rsid w:val="00374E70"/>
    <w:rPr>
      <w:rFonts w:ascii="Tahoma" w:hAnsi="Tahoma" w:cs="Tahoma"/>
      <w:sz w:val="16"/>
      <w:szCs w:val="16"/>
    </w:rPr>
  </w:style>
  <w:style w:type="paragraph" w:styleId="ListParagraph">
    <w:name w:val="List Paragraph"/>
    <w:basedOn w:val="Normal"/>
    <w:uiPriority w:val="34"/>
    <w:qFormat/>
    <w:rsid w:val="003E3043"/>
    <w:pPr>
      <w:ind w:left="720"/>
    </w:pPr>
  </w:style>
  <w:style w:type="paragraph" w:styleId="Header">
    <w:name w:val="header"/>
    <w:basedOn w:val="Normal"/>
    <w:link w:val="HeaderChar"/>
    <w:uiPriority w:val="99"/>
    <w:unhideWhenUsed/>
    <w:rsid w:val="003E3043"/>
    <w:pPr>
      <w:tabs>
        <w:tab w:val="center" w:pos="4513"/>
        <w:tab w:val="right" w:pos="9026"/>
      </w:tabs>
    </w:pPr>
  </w:style>
  <w:style w:type="character" w:customStyle="1" w:styleId="HeaderChar">
    <w:name w:val="Header Char"/>
    <w:basedOn w:val="DefaultParagraphFont"/>
    <w:link w:val="Header"/>
    <w:uiPriority w:val="99"/>
    <w:rsid w:val="003E3043"/>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3E3043"/>
    <w:pPr>
      <w:tabs>
        <w:tab w:val="center" w:pos="4513"/>
        <w:tab w:val="right" w:pos="9026"/>
      </w:tabs>
    </w:pPr>
  </w:style>
  <w:style w:type="character" w:customStyle="1" w:styleId="FooterChar">
    <w:name w:val="Footer Char"/>
    <w:basedOn w:val="DefaultParagraphFont"/>
    <w:link w:val="Footer"/>
    <w:uiPriority w:val="99"/>
    <w:rsid w:val="003E3043"/>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Haydon, Sarah (People)</dc:creator>
  <cp:lastModifiedBy>Haydon, Sarah (People)</cp:lastModifiedBy>
  <cp:revision>2</cp:revision>
  <cp:lastPrinted>2018-12-06T10:39:00Z</cp:lastPrinted>
  <dcterms:created xsi:type="dcterms:W3CDTF">2019-09-20T13:51:00Z</dcterms:created>
  <dcterms:modified xsi:type="dcterms:W3CDTF">2019-09-20T13:51:00Z</dcterms:modified>
</cp:coreProperties>
</file>